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CA4E18" w:rsidRDefault="002C71A5" w:rsidP="008C3765">
      <w:pPr>
        <w:tabs>
          <w:tab w:val="right" w:pos="7910"/>
        </w:tabs>
        <w:jc w:val="both"/>
        <w:rPr>
          <w:rStyle w:val="Nessuno"/>
          <w:rFonts w:cs="Times New Roman"/>
          <w:i/>
          <w:iCs/>
          <w:sz w:val="28"/>
          <w:szCs w:val="28"/>
        </w:rPr>
      </w:pPr>
    </w:p>
    <w:p w14:paraId="3FB1DFD4" w14:textId="77777777" w:rsidR="00C741F3" w:rsidRDefault="00C741F3" w:rsidP="008C3765">
      <w:pPr>
        <w:tabs>
          <w:tab w:val="right" w:pos="7910"/>
        </w:tabs>
        <w:jc w:val="both"/>
        <w:rPr>
          <w:rStyle w:val="Nessuno"/>
          <w:rFonts w:cs="Times New Roman"/>
          <w:i/>
          <w:iCs/>
          <w:sz w:val="28"/>
          <w:szCs w:val="28"/>
        </w:rPr>
      </w:pPr>
    </w:p>
    <w:p w14:paraId="25E4A454" w14:textId="77777777" w:rsidR="008C3765" w:rsidRDefault="00BE5121" w:rsidP="008C3765">
      <w:pPr>
        <w:tabs>
          <w:tab w:val="right" w:pos="7910"/>
        </w:tabs>
        <w:jc w:val="both"/>
        <w:rPr>
          <w:rStyle w:val="Nessuno"/>
          <w:rFonts w:cs="Times New Roman"/>
          <w:i/>
          <w:iCs/>
          <w:sz w:val="28"/>
          <w:szCs w:val="28"/>
        </w:rPr>
      </w:pPr>
      <w:r>
        <w:rPr>
          <w:rStyle w:val="Nessuno"/>
          <w:rFonts w:cs="Times New Roman"/>
          <w:i/>
          <w:iCs/>
          <w:sz w:val="28"/>
          <w:szCs w:val="28"/>
        </w:rPr>
        <w:t xml:space="preserve">  </w:t>
      </w:r>
    </w:p>
    <w:p w14:paraId="739FFFD8" w14:textId="472044D8" w:rsidR="00854C1E" w:rsidRPr="006E4EFB" w:rsidRDefault="00854C1E" w:rsidP="00854C1E">
      <w:pPr>
        <w:jc w:val="both"/>
        <w:rPr>
          <w:rFonts w:cs="Times New Roman"/>
        </w:rPr>
      </w:pPr>
      <w:bookmarkStart w:id="0" w:name="OLE_LINK1"/>
      <w:bookmarkStart w:id="1" w:name="OLE_LINK2"/>
      <w:bookmarkStart w:id="2" w:name="OLE_LINK3"/>
      <w:bookmarkStart w:id="3" w:name="OLE_LINK4"/>
      <w:bookmarkStart w:id="4" w:name="OLE_LINK5"/>
      <w:r w:rsidRPr="006E4EFB">
        <w:rPr>
          <w:rFonts w:cs="Times New Roman"/>
        </w:rPr>
        <w:t xml:space="preserve">Comunicato Stampa n. </w:t>
      </w:r>
      <w:r w:rsidR="00B14C63">
        <w:rPr>
          <w:rFonts w:cs="Times New Roman"/>
        </w:rPr>
        <w:t>4</w:t>
      </w:r>
      <w:r w:rsidRPr="006E4EFB">
        <w:rPr>
          <w:rFonts w:cs="Times New Roman"/>
        </w:rPr>
        <w:t>/2025</w:t>
      </w:r>
    </w:p>
    <w:p w14:paraId="3BFDDB60" w14:textId="3ADA6811" w:rsidR="00B14C63" w:rsidRPr="001C7D05" w:rsidRDefault="00B14C63" w:rsidP="00B14C63">
      <w:pPr>
        <w:jc w:val="both"/>
        <w:rPr>
          <w:rFonts w:cs="Times New Roman"/>
          <w:b/>
          <w:bCs/>
          <w:sz w:val="28"/>
          <w:szCs w:val="28"/>
        </w:rPr>
      </w:pPr>
      <w:r w:rsidRPr="001C7D05">
        <w:rPr>
          <w:rFonts w:cs="Times New Roman"/>
          <w:b/>
          <w:bCs/>
          <w:sz w:val="28"/>
          <w:szCs w:val="28"/>
        </w:rPr>
        <w:t>Agrilevante, un progetto per il Mediterraneo</w:t>
      </w:r>
    </w:p>
    <w:p w14:paraId="14D5C19A" w14:textId="77777777" w:rsidR="00B14C63" w:rsidRPr="001C7D05" w:rsidRDefault="00B14C63" w:rsidP="00B14C63">
      <w:pPr>
        <w:jc w:val="both"/>
        <w:rPr>
          <w:rFonts w:cs="Times New Roman"/>
          <w:sz w:val="28"/>
          <w:szCs w:val="28"/>
        </w:rPr>
      </w:pPr>
      <w:r w:rsidRPr="001C7D05">
        <w:rPr>
          <w:rFonts w:cs="Times New Roman"/>
          <w:sz w:val="28"/>
          <w:szCs w:val="28"/>
        </w:rPr>
        <w:tab/>
      </w:r>
    </w:p>
    <w:p w14:paraId="6770EE9C" w14:textId="28A54A19" w:rsidR="00B14C63" w:rsidRPr="001C7D05" w:rsidRDefault="00B14C63" w:rsidP="00B14C63">
      <w:pPr>
        <w:jc w:val="both"/>
        <w:rPr>
          <w:rFonts w:cs="Times New Roman"/>
          <w:b/>
          <w:bCs/>
          <w:i/>
          <w:iCs/>
          <w:sz w:val="28"/>
          <w:szCs w:val="28"/>
        </w:rPr>
      </w:pPr>
      <w:r w:rsidRPr="001C7D05">
        <w:rPr>
          <w:rFonts w:cs="Times New Roman"/>
          <w:b/>
          <w:bCs/>
          <w:i/>
          <w:iCs/>
          <w:sz w:val="28"/>
          <w:szCs w:val="28"/>
        </w:rPr>
        <w:t>Presentata questa mattina ad Agriumbria l’ottava edizione della rassegna dedicata alle macchine e alle tecnologie per le econom</w:t>
      </w:r>
      <w:r>
        <w:rPr>
          <w:rFonts w:cs="Times New Roman"/>
          <w:b/>
          <w:bCs/>
          <w:i/>
          <w:iCs/>
          <w:sz w:val="28"/>
          <w:szCs w:val="28"/>
        </w:rPr>
        <w:t>i</w:t>
      </w:r>
      <w:r w:rsidRPr="001C7D05">
        <w:rPr>
          <w:rFonts w:cs="Times New Roman"/>
          <w:b/>
          <w:bCs/>
          <w:i/>
          <w:iCs/>
          <w:sz w:val="28"/>
          <w:szCs w:val="28"/>
        </w:rPr>
        <w:t>e agricole della regione. Focus su internazionalizzazione, robotica e politiche di settore.</w:t>
      </w:r>
    </w:p>
    <w:p w14:paraId="727EC351" w14:textId="77777777" w:rsidR="00B14C63" w:rsidRPr="001C7D05" w:rsidRDefault="00B14C63" w:rsidP="00B14C63">
      <w:pPr>
        <w:jc w:val="both"/>
        <w:rPr>
          <w:rFonts w:cs="Times New Roman"/>
          <w:sz w:val="28"/>
          <w:szCs w:val="28"/>
        </w:rPr>
      </w:pPr>
    </w:p>
    <w:p w14:paraId="0417E2CE" w14:textId="77E47230" w:rsidR="00B14C63" w:rsidRPr="001C7D05" w:rsidRDefault="00B14C63" w:rsidP="00B14C63">
      <w:pPr>
        <w:jc w:val="both"/>
        <w:rPr>
          <w:rFonts w:cs="Times New Roman"/>
          <w:sz w:val="28"/>
          <w:szCs w:val="28"/>
        </w:rPr>
      </w:pPr>
      <w:r w:rsidRPr="001C7D05">
        <w:rPr>
          <w:rFonts w:cs="Times New Roman"/>
          <w:sz w:val="28"/>
          <w:szCs w:val="28"/>
        </w:rPr>
        <w:t xml:space="preserve">Agrilevante è una manifestazione in crescita, che si è imposta nel panorama fieristico globale come uno degli eventi di riferimento per il settore della meccanica agricola. La rassegna, che quest’anno dal 9 al 12 ottobre tiene a Bari l’ottava edizione, deve il proprio successo ad una forte caratterizzazione mediterranea; alla capacità di </w:t>
      </w:r>
      <w:r w:rsidR="00B2327A">
        <w:rPr>
          <w:rFonts w:cs="Times New Roman"/>
          <w:sz w:val="28"/>
          <w:szCs w:val="28"/>
        </w:rPr>
        <w:t>porsi</w:t>
      </w:r>
      <w:r w:rsidRPr="001C7D05">
        <w:rPr>
          <w:rFonts w:cs="Times New Roman"/>
          <w:sz w:val="28"/>
          <w:szCs w:val="28"/>
        </w:rPr>
        <w:t xml:space="preserve"> non soltanto come una fiera commerciale, ma come un “progetto globale” per il Mediterraneo. Lo ha sottolineato Mariateresa Maschio, presidente dell’associazione dei costruttori FederUnacoma, aprendo la conferenza stampa di </w:t>
      </w:r>
      <w:r w:rsidR="00B2327A">
        <w:rPr>
          <w:rFonts w:cs="Times New Roman"/>
          <w:sz w:val="28"/>
          <w:szCs w:val="28"/>
        </w:rPr>
        <w:t>presentazione</w:t>
      </w:r>
      <w:r w:rsidRPr="001C7D05">
        <w:rPr>
          <w:rFonts w:cs="Times New Roman"/>
          <w:sz w:val="28"/>
          <w:szCs w:val="28"/>
        </w:rPr>
        <w:t xml:space="preserve"> dell’evento barese, che si è svolta questa mattina a Bastia Umbra (Perugia) nella cornice di Agriumbria. “L’area mediterranea è promettente non soltanto per quanto riguarda le produzioni agricole, in particolare per quelle ad alto valore aggiunto, ma </w:t>
      </w:r>
      <w:r>
        <w:rPr>
          <w:rFonts w:cs="Times New Roman"/>
          <w:sz w:val="28"/>
          <w:szCs w:val="28"/>
        </w:rPr>
        <w:t>anche -</w:t>
      </w:r>
      <w:r w:rsidRPr="001C7D05">
        <w:rPr>
          <w:rFonts w:cs="Times New Roman"/>
          <w:sz w:val="28"/>
          <w:szCs w:val="28"/>
        </w:rPr>
        <w:t xml:space="preserve"> ha detto Mariateresa Maschio - per le prospettive economiche generali”. In un contesto complesso come quello attuale, i Paesi del bacino mediterraneo risultano infatti in controtendenza. Il trend riguarda in special modo le economie della sponda sud, quelle nordafricane, che registrano le previsioni di crescita più significative: +3,6% il Marocco, +1,8% la Tunisia, +4% l’Egitto e +3% l’Algeria. Questi sono gli stessi Paesi che nel triennio 2026/2028 dovrebbero vedere una crescita altrettanto </w:t>
      </w:r>
      <w:r w:rsidR="00B2327A">
        <w:rPr>
          <w:rFonts w:cs="Times New Roman"/>
          <w:sz w:val="28"/>
          <w:szCs w:val="28"/>
        </w:rPr>
        <w:t>consider</w:t>
      </w:r>
      <w:r w:rsidR="00F011F6">
        <w:rPr>
          <w:rFonts w:cs="Times New Roman"/>
          <w:sz w:val="28"/>
          <w:szCs w:val="28"/>
        </w:rPr>
        <w:t>e</w:t>
      </w:r>
      <w:r w:rsidR="00B2327A">
        <w:rPr>
          <w:rFonts w:cs="Times New Roman"/>
          <w:sz w:val="28"/>
          <w:szCs w:val="28"/>
        </w:rPr>
        <w:t>vole</w:t>
      </w:r>
      <w:r w:rsidRPr="001C7D05">
        <w:rPr>
          <w:rFonts w:cs="Times New Roman"/>
          <w:sz w:val="28"/>
          <w:szCs w:val="28"/>
        </w:rPr>
        <w:t xml:space="preserve"> della domanda di macchine agricole, con una media del 9% e del 6% annuo per Egitto e Marocco, e del 3% per Algeria e Tunisia. </w:t>
      </w:r>
    </w:p>
    <w:p w14:paraId="2364AD5D" w14:textId="6995E71F" w:rsidR="00B14C63" w:rsidRPr="001C7D05" w:rsidRDefault="00B14C63" w:rsidP="00B14C63">
      <w:pPr>
        <w:jc w:val="both"/>
        <w:rPr>
          <w:rFonts w:cs="Times New Roman"/>
          <w:sz w:val="28"/>
          <w:szCs w:val="28"/>
        </w:rPr>
      </w:pPr>
      <w:r w:rsidRPr="001C7D05">
        <w:rPr>
          <w:rFonts w:cs="Times New Roman"/>
          <w:sz w:val="28"/>
          <w:szCs w:val="28"/>
        </w:rPr>
        <w:t>In uno scenario mediterraneo caratterizzat</w:t>
      </w:r>
      <w:r w:rsidR="0080256D">
        <w:rPr>
          <w:rFonts w:cs="Times New Roman"/>
          <w:sz w:val="28"/>
          <w:szCs w:val="28"/>
        </w:rPr>
        <w:t>o</w:t>
      </w:r>
      <w:r w:rsidRPr="001C7D05">
        <w:rPr>
          <w:rFonts w:cs="Times New Roman"/>
          <w:sz w:val="28"/>
          <w:szCs w:val="28"/>
        </w:rPr>
        <w:t xml:space="preserve"> da grande dinamismo, Agrilevante rafforza la sua vocazione internazionale, con un ricco programma di iniziative finalizzate a promuovere la cooperazione tecnica e commerciale tra le 350 industrie espositrici in rappresentanza di oltre 20 Paesi e i numerosi operatori economici presenti. A Bari sono infatti </w:t>
      </w:r>
      <w:r w:rsidR="0080256D">
        <w:rPr>
          <w:rFonts w:cs="Times New Roman"/>
          <w:sz w:val="28"/>
          <w:szCs w:val="28"/>
        </w:rPr>
        <w:t xml:space="preserve">presenti </w:t>
      </w:r>
      <w:r w:rsidRPr="001C7D05">
        <w:rPr>
          <w:rFonts w:cs="Times New Roman"/>
          <w:sz w:val="28"/>
          <w:szCs w:val="28"/>
        </w:rPr>
        <w:t>buyer provenienti dall’Europa mediterranea, dai Balcani, dal Medioriente, dal Nord Africa e</w:t>
      </w:r>
      <w:r w:rsidR="00B2327A">
        <w:rPr>
          <w:rFonts w:cs="Times New Roman"/>
          <w:sz w:val="28"/>
          <w:szCs w:val="28"/>
        </w:rPr>
        <w:t xml:space="preserve"> </w:t>
      </w:r>
      <w:r w:rsidRPr="001C7D05">
        <w:rPr>
          <w:rFonts w:cs="Times New Roman"/>
          <w:sz w:val="28"/>
          <w:szCs w:val="28"/>
        </w:rPr>
        <w:t xml:space="preserve">dall’Africa sub-sahariana. “Sempre sul versante dell’internazionalizzazione </w:t>
      </w:r>
      <w:r w:rsidR="0080256D">
        <w:rPr>
          <w:rFonts w:cs="Times New Roman"/>
          <w:sz w:val="28"/>
          <w:szCs w:val="28"/>
        </w:rPr>
        <w:t>-</w:t>
      </w:r>
      <w:r w:rsidRPr="001C7D05">
        <w:rPr>
          <w:rFonts w:cs="Times New Roman"/>
          <w:sz w:val="28"/>
          <w:szCs w:val="28"/>
        </w:rPr>
        <w:t xml:space="preserve"> ha aggiunto il direttore generale di FederUnacoma Simona Rapastella - l’Agenzia ICE sta definendo il programma di incoming dei delegati esteri, che nei quattro giorni dell</w:t>
      </w:r>
      <w:r w:rsidR="00B2327A">
        <w:rPr>
          <w:rFonts w:cs="Times New Roman"/>
          <w:sz w:val="28"/>
          <w:szCs w:val="28"/>
        </w:rPr>
        <w:t>a</w:t>
      </w:r>
      <w:r w:rsidRPr="001C7D05">
        <w:rPr>
          <w:rFonts w:cs="Times New Roman"/>
          <w:sz w:val="28"/>
          <w:szCs w:val="28"/>
        </w:rPr>
        <w:t xml:space="preserve"> kermesse saranno impegnati negli incontri business to business con le case costruttrici italiane. Anche in questa edizione tali incontri si terranno in un’area del quartiere fieristico appositamente dedicata ed attrezzata con tutti i servizi di supporto”. Di respiro internazionale sono i numerosi convegn</w:t>
      </w:r>
      <w:r w:rsidR="0080256D">
        <w:rPr>
          <w:rFonts w:cs="Times New Roman"/>
          <w:sz w:val="28"/>
          <w:szCs w:val="28"/>
        </w:rPr>
        <w:t>i</w:t>
      </w:r>
      <w:r w:rsidRPr="001C7D05">
        <w:rPr>
          <w:rFonts w:cs="Times New Roman"/>
          <w:sz w:val="28"/>
          <w:szCs w:val="28"/>
        </w:rPr>
        <w:t xml:space="preserve"> e workshop che affronteranno le tematiche di maggior rilievo per </w:t>
      </w:r>
      <w:r w:rsidRPr="001C7D05">
        <w:rPr>
          <w:rFonts w:cs="Times New Roman"/>
          <w:sz w:val="28"/>
          <w:szCs w:val="28"/>
        </w:rPr>
        <w:lastRenderedPageBreak/>
        <w:t xml:space="preserve">le economie agricole della regione mediterranea. </w:t>
      </w:r>
      <w:r w:rsidR="00B2327A">
        <w:rPr>
          <w:rFonts w:cs="Times New Roman"/>
          <w:sz w:val="28"/>
          <w:szCs w:val="28"/>
        </w:rPr>
        <w:t xml:space="preserve">In particolare evidenza </w:t>
      </w:r>
      <w:r w:rsidRPr="001C7D05">
        <w:rPr>
          <w:rFonts w:cs="Times New Roman"/>
          <w:sz w:val="28"/>
          <w:szCs w:val="28"/>
        </w:rPr>
        <w:t xml:space="preserve">il meeting del Club of Bologna, che si tiene per la prima volta a Bari e che riunisce i maggiori </w:t>
      </w:r>
      <w:r w:rsidR="0080256D">
        <w:rPr>
          <w:rFonts w:cs="Times New Roman"/>
          <w:sz w:val="28"/>
          <w:szCs w:val="28"/>
        </w:rPr>
        <w:t xml:space="preserve">esperti </w:t>
      </w:r>
      <w:r w:rsidRPr="001C7D05">
        <w:rPr>
          <w:rFonts w:cs="Times New Roman"/>
          <w:sz w:val="28"/>
          <w:szCs w:val="28"/>
        </w:rPr>
        <w:t xml:space="preserve">di meccanica agricola a livello mondiale. Tra i punti di forza della rassegna, la nuova formula del concorso novità tecniche (ora denominato Agrilevante/Macchine per l’agricoltura mediterranea, con il Premio Lavorazioni agricole e il Premio Cura del verde), l’area Real dedicata alla robotica ed ai sistemi digitali, ed il nuovo spazio espositivo </w:t>
      </w:r>
      <w:r w:rsidR="00B2327A">
        <w:rPr>
          <w:rFonts w:cs="Times New Roman"/>
          <w:sz w:val="28"/>
          <w:szCs w:val="28"/>
        </w:rPr>
        <w:t>riservato</w:t>
      </w:r>
      <w:r w:rsidRPr="001C7D05">
        <w:rPr>
          <w:rFonts w:cs="Times New Roman"/>
          <w:sz w:val="28"/>
          <w:szCs w:val="28"/>
        </w:rPr>
        <w:t xml:space="preserve"> alla cura del verde.</w:t>
      </w:r>
    </w:p>
    <w:p w14:paraId="750D5FBD" w14:textId="77777777" w:rsidR="00854C1E" w:rsidRPr="004B538C" w:rsidRDefault="00854C1E" w:rsidP="00854C1E">
      <w:pPr>
        <w:tabs>
          <w:tab w:val="right" w:pos="7910"/>
        </w:tabs>
        <w:jc w:val="both"/>
        <w:rPr>
          <w:rFonts w:cs="Times New Roman"/>
        </w:rPr>
      </w:pPr>
    </w:p>
    <w:bookmarkEnd w:id="0"/>
    <w:bookmarkEnd w:id="1"/>
    <w:bookmarkEnd w:id="2"/>
    <w:p w14:paraId="1D1ED74A" w14:textId="10F52BFD" w:rsidR="00854C1E" w:rsidRPr="004B538C" w:rsidRDefault="00B14C63" w:rsidP="00854C1E">
      <w:pPr>
        <w:tabs>
          <w:tab w:val="right" w:pos="7910"/>
        </w:tabs>
        <w:jc w:val="both"/>
        <w:rPr>
          <w:rFonts w:cs="Times New Roman"/>
          <w:b/>
        </w:rPr>
      </w:pPr>
      <w:r>
        <w:rPr>
          <w:rFonts w:cs="Times New Roman"/>
          <w:b/>
          <w:bCs/>
        </w:rPr>
        <w:t xml:space="preserve">Bastia Umbra </w:t>
      </w:r>
      <w:r w:rsidR="00854C1E" w:rsidRPr="004B538C">
        <w:rPr>
          <w:rFonts w:cs="Times New Roman"/>
          <w:b/>
          <w:bCs/>
        </w:rPr>
        <w:t>(</w:t>
      </w:r>
      <w:r>
        <w:rPr>
          <w:rFonts w:cs="Times New Roman"/>
          <w:b/>
          <w:bCs/>
        </w:rPr>
        <w:t>PG</w:t>
      </w:r>
      <w:r w:rsidR="00854C1E" w:rsidRPr="004B538C">
        <w:rPr>
          <w:rFonts w:cs="Times New Roman"/>
          <w:b/>
          <w:bCs/>
        </w:rPr>
        <w:t xml:space="preserve">), </w:t>
      </w:r>
      <w:r>
        <w:rPr>
          <w:rFonts w:cs="Times New Roman"/>
          <w:b/>
          <w:bCs/>
        </w:rPr>
        <w:t>28</w:t>
      </w:r>
      <w:r w:rsidR="00854C1E" w:rsidRPr="004B538C">
        <w:rPr>
          <w:rFonts w:cs="Times New Roman"/>
          <w:b/>
          <w:bCs/>
        </w:rPr>
        <w:t xml:space="preserve"> marzo 2025</w:t>
      </w:r>
      <w:bookmarkEnd w:id="3"/>
      <w:bookmarkEnd w:id="4"/>
    </w:p>
    <w:p w14:paraId="4335EEA6" w14:textId="77777777" w:rsidR="00854C1E" w:rsidRPr="00E81FB8" w:rsidRDefault="00854C1E" w:rsidP="00854C1E">
      <w:pPr>
        <w:tabs>
          <w:tab w:val="right" w:pos="7910"/>
        </w:tabs>
        <w:jc w:val="both"/>
        <w:rPr>
          <w:rFonts w:cs="Times New Roman"/>
          <w:b/>
          <w:color w:val="333333"/>
          <w:sz w:val="28"/>
          <w:szCs w:val="28"/>
        </w:rPr>
      </w:pPr>
    </w:p>
    <w:p w14:paraId="21B307DE" w14:textId="07113C10" w:rsidR="00FC4390" w:rsidRPr="00E81FB8" w:rsidRDefault="00FC4390" w:rsidP="00854C1E">
      <w:pPr>
        <w:tabs>
          <w:tab w:val="right" w:pos="7910"/>
        </w:tabs>
        <w:jc w:val="both"/>
        <w:rPr>
          <w:rFonts w:cs="Times New Roman"/>
          <w:b/>
          <w:color w:val="333333"/>
          <w:sz w:val="28"/>
          <w:szCs w:val="28"/>
        </w:rPr>
      </w:pPr>
    </w:p>
    <w:sectPr w:rsidR="00FC4390" w:rsidRPr="00E81FB8"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8B89" w14:textId="77777777" w:rsidR="0047282D" w:rsidRDefault="0047282D" w:rsidP="002C71A5">
      <w:r>
        <w:separator/>
      </w:r>
    </w:p>
  </w:endnote>
  <w:endnote w:type="continuationSeparator" w:id="0">
    <w:p w14:paraId="4904A104" w14:textId="77777777" w:rsidR="0047282D" w:rsidRDefault="0047282D"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6EB3" w14:textId="77777777" w:rsidR="0047282D" w:rsidRDefault="0047282D" w:rsidP="002C71A5">
      <w:r>
        <w:separator/>
      </w:r>
    </w:p>
  </w:footnote>
  <w:footnote w:type="continuationSeparator" w:id="0">
    <w:p w14:paraId="0550E6E7" w14:textId="77777777" w:rsidR="0047282D" w:rsidRDefault="0047282D"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2871"/>
    <w:rsid w:val="0002348F"/>
    <w:rsid w:val="000765F1"/>
    <w:rsid w:val="00076DAA"/>
    <w:rsid w:val="00096A7A"/>
    <w:rsid w:val="00097DE6"/>
    <w:rsid w:val="000C469E"/>
    <w:rsid w:val="001230FE"/>
    <w:rsid w:val="001942CE"/>
    <w:rsid w:val="001B6DCD"/>
    <w:rsid w:val="00202CAE"/>
    <w:rsid w:val="00205AFD"/>
    <w:rsid w:val="00277A8B"/>
    <w:rsid w:val="002A41B4"/>
    <w:rsid w:val="002C71A5"/>
    <w:rsid w:val="00304659"/>
    <w:rsid w:val="00316EFE"/>
    <w:rsid w:val="0036022E"/>
    <w:rsid w:val="003857B8"/>
    <w:rsid w:val="003D5C4C"/>
    <w:rsid w:val="003E0BDB"/>
    <w:rsid w:val="00401A10"/>
    <w:rsid w:val="004239BE"/>
    <w:rsid w:val="00426DB5"/>
    <w:rsid w:val="004468CB"/>
    <w:rsid w:val="0047282D"/>
    <w:rsid w:val="00492234"/>
    <w:rsid w:val="004A6000"/>
    <w:rsid w:val="004A6E6E"/>
    <w:rsid w:val="004C6208"/>
    <w:rsid w:val="004E17CC"/>
    <w:rsid w:val="00545524"/>
    <w:rsid w:val="00566AC8"/>
    <w:rsid w:val="005F176C"/>
    <w:rsid w:val="0061688F"/>
    <w:rsid w:val="00665780"/>
    <w:rsid w:val="006A6959"/>
    <w:rsid w:val="006A7B26"/>
    <w:rsid w:val="006B2137"/>
    <w:rsid w:val="006C6397"/>
    <w:rsid w:val="006E02F4"/>
    <w:rsid w:val="006E34D3"/>
    <w:rsid w:val="006F1D9E"/>
    <w:rsid w:val="006F3327"/>
    <w:rsid w:val="006F7AAD"/>
    <w:rsid w:val="00735C19"/>
    <w:rsid w:val="007457EE"/>
    <w:rsid w:val="00764C76"/>
    <w:rsid w:val="00766858"/>
    <w:rsid w:val="0077494C"/>
    <w:rsid w:val="007773EE"/>
    <w:rsid w:val="007A3767"/>
    <w:rsid w:val="007F7DD2"/>
    <w:rsid w:val="00801DE7"/>
    <w:rsid w:val="0080256D"/>
    <w:rsid w:val="00806246"/>
    <w:rsid w:val="00845284"/>
    <w:rsid w:val="00854C1E"/>
    <w:rsid w:val="008709D5"/>
    <w:rsid w:val="0089164B"/>
    <w:rsid w:val="008C3765"/>
    <w:rsid w:val="00924C77"/>
    <w:rsid w:val="00943DF8"/>
    <w:rsid w:val="009450EE"/>
    <w:rsid w:val="00962D05"/>
    <w:rsid w:val="00966C80"/>
    <w:rsid w:val="009837FF"/>
    <w:rsid w:val="00996CDD"/>
    <w:rsid w:val="00997833"/>
    <w:rsid w:val="009C2413"/>
    <w:rsid w:val="009E6583"/>
    <w:rsid w:val="009F3DB9"/>
    <w:rsid w:val="009F4BBB"/>
    <w:rsid w:val="00A00A28"/>
    <w:rsid w:val="00A663ED"/>
    <w:rsid w:val="00A708C5"/>
    <w:rsid w:val="00A90753"/>
    <w:rsid w:val="00AB1552"/>
    <w:rsid w:val="00AC0E19"/>
    <w:rsid w:val="00AD71BD"/>
    <w:rsid w:val="00B14C63"/>
    <w:rsid w:val="00B2327A"/>
    <w:rsid w:val="00B43638"/>
    <w:rsid w:val="00BE12FB"/>
    <w:rsid w:val="00BE5121"/>
    <w:rsid w:val="00C07EC8"/>
    <w:rsid w:val="00C159D1"/>
    <w:rsid w:val="00C24FBC"/>
    <w:rsid w:val="00C30DE8"/>
    <w:rsid w:val="00C7026F"/>
    <w:rsid w:val="00C741F3"/>
    <w:rsid w:val="00C84E31"/>
    <w:rsid w:val="00C95E54"/>
    <w:rsid w:val="00CA4E18"/>
    <w:rsid w:val="00CB3E1B"/>
    <w:rsid w:val="00D039E3"/>
    <w:rsid w:val="00D14666"/>
    <w:rsid w:val="00D355A7"/>
    <w:rsid w:val="00D44E3C"/>
    <w:rsid w:val="00D46666"/>
    <w:rsid w:val="00D56419"/>
    <w:rsid w:val="00D669EE"/>
    <w:rsid w:val="00D9141E"/>
    <w:rsid w:val="00DF43D4"/>
    <w:rsid w:val="00E539B2"/>
    <w:rsid w:val="00E570CF"/>
    <w:rsid w:val="00E63937"/>
    <w:rsid w:val="00E81FB8"/>
    <w:rsid w:val="00E871FF"/>
    <w:rsid w:val="00EA5FED"/>
    <w:rsid w:val="00ED47E2"/>
    <w:rsid w:val="00F011F6"/>
    <w:rsid w:val="00F26B96"/>
    <w:rsid w:val="00FC4390"/>
    <w:rsid w:val="00FF2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C71A5"/>
    <w:rPr>
      <w:rFonts w:cs="Arial Unicode MS"/>
      <w:color w:val="000000"/>
      <w:sz w:val="24"/>
      <w:szCs w:val="24"/>
      <w:u w:color="000000"/>
    </w:rPr>
  </w:style>
  <w:style w:type="paragraph" w:styleId="Titolo1">
    <w:name w:val="heading 1"/>
    <w:basedOn w:val="Normale"/>
    <w:next w:val="Normale"/>
    <w:link w:val="Titolo1Carattere"/>
    <w:uiPriority w:val="9"/>
    <w:qFormat/>
    <w:rsid w:val="009F3DB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outlineLvl w:val="0"/>
    </w:pPr>
    <w:rPr>
      <w:rFonts w:asciiTheme="majorHAnsi" w:eastAsiaTheme="majorEastAsia" w:hAnsiTheme="majorHAnsi" w:cstheme="majorBidi"/>
      <w:b/>
      <w:bCs/>
      <w:color w:val="365F91" w:themeColor="accent1" w:themeShade="BF"/>
      <w:sz w:val="28"/>
      <w:szCs w:val="2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2</cp:revision>
  <cp:lastPrinted>2025-03-03T10:56:00Z</cp:lastPrinted>
  <dcterms:created xsi:type="dcterms:W3CDTF">2025-03-28T15:28:00Z</dcterms:created>
  <dcterms:modified xsi:type="dcterms:W3CDTF">2025-03-28T15:28:00Z</dcterms:modified>
</cp:coreProperties>
</file>