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F0CC" w14:textId="0E777D11" w:rsidR="00E77019" w:rsidRDefault="00E86877">
      <w:pPr>
        <w:ind w:left="-284" w:right="-292"/>
        <w:rPr>
          <w:rStyle w:val="Nessuno"/>
          <w:i/>
          <w:iCs/>
        </w:rPr>
      </w:pPr>
      <w:r w:rsidRPr="00E86877">
        <w:rPr>
          <w:rFonts w:eastAsia="Times New Roman" w:cs="Times New Roman"/>
          <w:b/>
          <w:noProof/>
          <w:color w:val="auto"/>
          <w:sz w:val="20"/>
          <w:szCs w:val="20"/>
          <w:bdr w:val="none" w:sz="0" w:space="0" w:color="auto"/>
          <w:lang w:val="it-IT"/>
        </w:rPr>
        <w:drawing>
          <wp:anchor distT="0" distB="0" distL="114300" distR="114300" simplePos="0" relativeHeight="251658240" behindDoc="1" locked="0" layoutInCell="1" allowOverlap="1" wp14:anchorId="4D5DD5D0" wp14:editId="74F9AB79">
            <wp:simplePos x="0" y="0"/>
            <wp:positionH relativeFrom="column">
              <wp:posOffset>2035175</wp:posOffset>
            </wp:positionH>
            <wp:positionV relativeFrom="paragraph">
              <wp:posOffset>91440</wp:posOffset>
            </wp:positionV>
            <wp:extent cx="1664970" cy="573405"/>
            <wp:effectExtent l="0" t="0" r="0" b="0"/>
            <wp:wrapNone/>
            <wp:docPr id="9" name="Immagine 9" descr="LOGO ITA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TAB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877">
        <w:rPr>
          <w:rFonts w:eastAsia="Times New Roman" w:cs="Times New Roman"/>
          <w:b/>
          <w:noProof/>
          <w:color w:val="auto"/>
          <w:sz w:val="20"/>
          <w:szCs w:val="20"/>
          <w:bdr w:val="none" w:sz="0" w:space="0" w:color="auto"/>
          <w:lang w:val="it-IT"/>
        </w:rPr>
        <w:drawing>
          <wp:anchor distT="0" distB="0" distL="114300" distR="114300" simplePos="0" relativeHeight="251659264" behindDoc="0" locked="0" layoutInCell="1" allowOverlap="1" wp14:anchorId="3CF1EFCA" wp14:editId="2C874139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412240" cy="614045"/>
            <wp:effectExtent l="0" t="0" r="0" b="0"/>
            <wp:wrapNone/>
            <wp:docPr id="5" name="Immagine 1" descr="cid:image001.png@01D39C4E.90C22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C4E.90C220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5F879" w14:textId="426DEF05" w:rsidR="00E86877" w:rsidRDefault="00E86877" w:rsidP="00E86877">
      <w:pPr>
        <w:ind w:left="-284" w:right="567"/>
        <w:rPr>
          <w:rFonts w:cs="Times New Roman"/>
          <w:i/>
          <w:lang w:val="fr-FR"/>
        </w:rPr>
      </w:pPr>
    </w:p>
    <w:p w14:paraId="2D42AD62" w14:textId="7B523BC8" w:rsidR="00E86877" w:rsidRDefault="00E86877" w:rsidP="00E86877">
      <w:pPr>
        <w:tabs>
          <w:tab w:val="left" w:pos="5595"/>
        </w:tabs>
        <w:ind w:left="-284" w:right="567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ab/>
      </w:r>
    </w:p>
    <w:p w14:paraId="5CD2C566" w14:textId="77777777" w:rsidR="00E86877" w:rsidRDefault="00E86877" w:rsidP="00E86877">
      <w:pPr>
        <w:ind w:left="-284" w:right="567"/>
        <w:rPr>
          <w:rFonts w:cs="Times New Roman"/>
          <w:i/>
          <w:lang w:val="fr-FR"/>
        </w:rPr>
      </w:pPr>
    </w:p>
    <w:p w14:paraId="6C0E4AA3" w14:textId="77777777" w:rsidR="00E86877" w:rsidRDefault="00E86877" w:rsidP="00E86877">
      <w:pPr>
        <w:ind w:left="-284" w:right="567"/>
        <w:rPr>
          <w:rFonts w:cs="Times New Roman"/>
          <w:i/>
          <w:lang w:val="fr-FR"/>
        </w:rPr>
      </w:pPr>
    </w:p>
    <w:p w14:paraId="38B67403" w14:textId="0C657AD7" w:rsidR="00E77019" w:rsidRDefault="00B57CAD" w:rsidP="00E86877">
      <w:pPr>
        <w:ind w:left="-284" w:right="567"/>
        <w:rPr>
          <w:rFonts w:cs="Times New Roman"/>
          <w:i/>
          <w:lang w:val="fr-FR"/>
        </w:rPr>
      </w:pPr>
      <w:proofErr w:type="spellStart"/>
      <w:r>
        <w:rPr>
          <w:rFonts w:cs="Times New Roman"/>
          <w:i/>
          <w:lang w:val="fr-FR"/>
        </w:rPr>
        <w:t>Comunicato</w:t>
      </w:r>
      <w:proofErr w:type="spellEnd"/>
      <w:r>
        <w:rPr>
          <w:rFonts w:cs="Times New Roman"/>
          <w:i/>
          <w:lang w:val="fr-FR"/>
        </w:rPr>
        <w:t xml:space="preserve"> stampa </w:t>
      </w:r>
      <w:r w:rsidR="00497C4D" w:rsidRPr="00A06A35">
        <w:rPr>
          <w:rFonts w:cs="Times New Roman"/>
          <w:i/>
          <w:lang w:val="fr-FR"/>
        </w:rPr>
        <w:t>n.</w:t>
      </w:r>
      <w:r>
        <w:rPr>
          <w:rFonts w:cs="Times New Roman"/>
          <w:i/>
          <w:lang w:val="fr-FR"/>
        </w:rPr>
        <w:t> </w:t>
      </w:r>
      <w:r w:rsidR="00CB2AFD">
        <w:rPr>
          <w:rFonts w:cs="Times New Roman"/>
          <w:i/>
          <w:lang w:val="fr-FR"/>
        </w:rPr>
        <w:t>3</w:t>
      </w:r>
      <w:r w:rsidR="00E86877">
        <w:rPr>
          <w:rFonts w:cs="Times New Roman"/>
          <w:i/>
          <w:lang w:val="fr-FR"/>
        </w:rPr>
        <w:t>5</w:t>
      </w:r>
    </w:p>
    <w:p w14:paraId="57FD152C" w14:textId="77777777" w:rsidR="00A63A04" w:rsidRPr="00A63A04" w:rsidRDefault="00A63A04" w:rsidP="00E86877">
      <w:pPr>
        <w:tabs>
          <w:tab w:val="left" w:pos="7655"/>
        </w:tabs>
        <w:ind w:left="-284" w:right="567"/>
        <w:jc w:val="both"/>
        <w:rPr>
          <w:rFonts w:eastAsia="MS Mincho" w:cs="Times New Roman"/>
          <w:b/>
          <w:i/>
          <w:color w:val="auto"/>
          <w:sz w:val="28"/>
          <w:szCs w:val="28"/>
          <w:bdr w:val="none" w:sz="0" w:space="0" w:color="auto"/>
          <w:lang w:val="fr-FR"/>
        </w:rPr>
      </w:pPr>
    </w:p>
    <w:p w14:paraId="17CB989C" w14:textId="10FAFF94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b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b/>
          <w:color w:val="auto"/>
          <w:bdr w:val="none" w:sz="0" w:space="0" w:color="auto"/>
          <w:lang w:val="it-IT" w:eastAsia="ar-SA"/>
        </w:rPr>
        <w:t>EDP, focus sulle bioenergie</w:t>
      </w:r>
    </w:p>
    <w:p w14:paraId="78AA677E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</w:p>
    <w:p w14:paraId="3C515046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 xml:space="preserve">Di grande rilievo ad EIMA Digital Preview (EDP) le iniziative calendarizzate da FederUnacoma e </w:t>
      </w:r>
      <w:proofErr w:type="spellStart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 xml:space="preserve"> sul tema delle bioenergie. Si è iniziato con l’incontro dal titolo “Utilizzo di materiali biodegradabili in agricoltura”, e nel secondo giorno è andato in scena il webinar dal titolo “Linea Guida per l’utilizzo degli impianti energetici a biomassa”. Nella giornata di oggi la “</w:t>
      </w:r>
      <w:proofErr w:type="spellStart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>final</w:t>
      </w:r>
      <w:proofErr w:type="spellEnd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 xml:space="preserve"> conference” del progetto </w:t>
      </w:r>
      <w:proofErr w:type="spellStart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>Enabling</w:t>
      </w:r>
      <w:proofErr w:type="spellEnd"/>
      <w:r w:rsidRPr="00E86877">
        <w:rPr>
          <w:rFonts w:eastAsia="Times New Roman" w:cs="Times New Roman"/>
          <w:b/>
          <w:i/>
          <w:iCs/>
          <w:color w:val="auto"/>
          <w:bdr w:val="none" w:sz="0" w:space="0" w:color="auto"/>
          <w:lang w:val="it-IT" w:eastAsia="ar-SA"/>
        </w:rPr>
        <w:t xml:space="preserve">. </w:t>
      </w:r>
    </w:p>
    <w:p w14:paraId="16815EE1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</w:p>
    <w:p w14:paraId="7C21A238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Le energie rinnovabili sono uno dei temi salienti di EDP, l’edizione virtuale di EIMA International. Nei primi tre giorni della rassegna, infatti,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(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Italian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Biomass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Association) e FederUnacoma, l’associazione italiana dei costruttori di macchine agricole che è organizzatrice della EDP, hanno calendarizzato una serie di incontri centrati proprio sulle tematiche delle bioenergie e della bioeconomia. “La crisi che stiamo vivendo rappresenta un momento di svolta anche per la sostenibilità. Dobbiamo reagire con spirito positivo cogliendo le opportunità di sviluppo sostenibile lanciate dal Green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Deal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e finanziabili con lo strumento ‘Next Generation EU’”, commenta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a conclusione del ciclo di incontri programmato. Oggi, secondo i dati del recente Rapporto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Greenitaly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2020, sono 432 mila le imprese italiane che negli ultimi 5 anni hanno investito sulla green economy per superare la crisi. In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italia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si contano 3,1 milioni di green jobs, il 13,4% degli occupati. “Occorre marciare compatti in questa direzione incentivando ricerca e innovazione tecnologica – aggiunge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- per ridurre gli impatti ambientali e creare nuove figure professionali”. In questo quadro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in stretta collaborazione con Chimica Verde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Bionet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ed ENEA, ha realizzato all’EDP tre webinar di grande attualità per trattare – da diverse angolazioni – il tema della biomassa, risorsa rinnovabile per una molteplicità di impieghi nel settore della bioeconomia circolare. Negli incontri si è discusso di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biobased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industry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, di agricoltura sostenibile, di bioenergia, senza mai trascurare il ruolo centrale di una moderna meccanizzazione agricola e forestale per la raccolta, la movimentazione e il condizionamento della biomassa. Ai partecipanti sono stati peraltro riconosciuti crediti formativi in misura determinata dai rispettivi Ordini professionali.</w:t>
      </w:r>
    </w:p>
    <w:p w14:paraId="31593F4C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Il webinar “Utilizzo di materiali biodegradabili in agricoltura” (tenutosi l’11 novembre) ha trattato di bioeconomia e delle sue applicazioni in agricoltura attraverso mezzi tecnici innovativi e a basso impatto ambientale. Si è parlato in particolare di pacciamature biodegradabili, delle loro caratteristiche e dei vantaggi ambientali ed economici associati al loro impiego. </w:t>
      </w:r>
    </w:p>
    <w:p w14:paraId="47DE1150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Nel secondo giorno della EDP (12 novembre) è stato presentato lo studio ENEA “Linea Guida per l’utilizzo degli impianti energetici a biomassa”, dove si sono descritti i passaggi tecnici ed amministrativi per ottenere le autorizzazioni alla realizzazione e gestione degli impianti energetici a biomassa, oltre che i criteri di scelta dei processi e delle tecnologie di conversione. </w:t>
      </w:r>
    </w:p>
    <w:p w14:paraId="2D4B0793" w14:textId="77777777" w:rsidR="00E86877" w:rsidRPr="00E86877" w:rsidRDefault="00E86877" w:rsidP="00E868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-284" w:right="567"/>
        <w:jc w:val="both"/>
        <w:rPr>
          <w:rFonts w:eastAsia="Times New Roman" w:cs="Times New Roman"/>
          <w:color w:val="auto"/>
          <w:bdr w:val="none" w:sz="0" w:space="0" w:color="auto"/>
          <w:lang w:val="it-IT" w:eastAsia="ar-SA"/>
        </w:rPr>
      </w:pPr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Nella giornata odierna, infine, si è tenuta la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Final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Conference del Progetto ENABLING “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Enhance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New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Approaches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in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Biobased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Local Innovation Networks for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Growth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”, sviluppato nell’ambito del programma H2020 e coordinato da </w:t>
      </w:r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lastRenderedPageBreak/>
        <w:t xml:space="preserve">FederUnacoma e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Itabia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. Il progetto ha realizzato una serie di strumenti per valorizzare il mercato dei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bioprodotti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 agevolando il contatto tra il settore agricolo (produttore di biomasse) e quello industriale (trasformatore). EDP è stata, sotto questo profilo, una vetrina per facilitare l’impiego di prodotti e sottoprodotti agricoli in settori con grandi potenzialità di crescita come la chimica verde, il tessile, </w:t>
      </w:r>
      <w:proofErr w:type="spellStart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>l’automotive</w:t>
      </w:r>
      <w:proofErr w:type="spellEnd"/>
      <w:r w:rsidRPr="00E86877">
        <w:rPr>
          <w:rFonts w:eastAsia="Times New Roman" w:cs="Times New Roman"/>
          <w:color w:val="auto"/>
          <w:bdr w:val="none" w:sz="0" w:space="0" w:color="auto"/>
          <w:lang w:val="it-IT" w:eastAsia="ar-SA"/>
        </w:rPr>
        <w:t xml:space="preserve">, la nutraceutica e la bioedilizia. </w:t>
      </w:r>
    </w:p>
    <w:p w14:paraId="770DE7A4" w14:textId="77777777" w:rsidR="005D3FA8" w:rsidRPr="005D3FA8" w:rsidRDefault="005D3FA8" w:rsidP="005D3FA8">
      <w:pPr>
        <w:tabs>
          <w:tab w:val="left" w:pos="7655"/>
        </w:tabs>
        <w:ind w:left="-284" w:right="425"/>
        <w:jc w:val="both"/>
        <w:rPr>
          <w:rFonts w:cs="Times New Roman"/>
          <w:b/>
          <w:sz w:val="28"/>
          <w:lang w:val="it-IT"/>
        </w:rPr>
      </w:pPr>
    </w:p>
    <w:p w14:paraId="7DA4DC16" w14:textId="77777777" w:rsidR="00ED24DD" w:rsidRPr="00A06A35" w:rsidRDefault="00ED24DD" w:rsidP="00CB2AFD">
      <w:pPr>
        <w:tabs>
          <w:tab w:val="left" w:pos="7655"/>
        </w:tabs>
        <w:ind w:left="-284" w:right="425"/>
        <w:jc w:val="both"/>
        <w:rPr>
          <w:rFonts w:cs="Times New Roman"/>
          <w:lang w:val="fr-FR"/>
        </w:rPr>
      </w:pPr>
    </w:p>
    <w:p w14:paraId="1339E3FF" w14:textId="656D409D" w:rsidR="00E77019" w:rsidRPr="00A06A35" w:rsidRDefault="00AE058B" w:rsidP="00CB2AFD">
      <w:pPr>
        <w:tabs>
          <w:tab w:val="left" w:pos="7655"/>
        </w:tabs>
        <w:ind w:left="-284" w:right="425"/>
        <w:jc w:val="both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Rom</w:t>
      </w:r>
      <w:r w:rsidR="00601685">
        <w:rPr>
          <w:rFonts w:cs="Times New Roman"/>
          <w:b/>
          <w:lang w:val="fr-FR"/>
        </w:rPr>
        <w:t>a</w:t>
      </w:r>
      <w:r w:rsidR="00497C4D" w:rsidRPr="00A06A35">
        <w:rPr>
          <w:rFonts w:cs="Times New Roman"/>
          <w:b/>
          <w:lang w:val="fr-FR"/>
        </w:rPr>
        <w:t xml:space="preserve">, </w:t>
      </w:r>
      <w:r w:rsidR="00B57CAD">
        <w:rPr>
          <w:rFonts w:cs="Times New Roman"/>
          <w:b/>
          <w:lang w:val="fr-FR"/>
        </w:rPr>
        <w:t>1</w:t>
      </w:r>
      <w:r w:rsidR="00986B19">
        <w:rPr>
          <w:rFonts w:cs="Times New Roman"/>
          <w:b/>
          <w:lang w:val="fr-FR"/>
        </w:rPr>
        <w:t>3</w:t>
      </w:r>
      <w:r w:rsidR="00B57CAD">
        <w:rPr>
          <w:rFonts w:cs="Times New Roman"/>
          <w:b/>
          <w:lang w:val="fr-FR"/>
        </w:rPr>
        <w:t xml:space="preserve"> </w:t>
      </w:r>
      <w:r w:rsidR="00497C4D" w:rsidRPr="00A06A35">
        <w:rPr>
          <w:rFonts w:cs="Times New Roman"/>
          <w:b/>
          <w:lang w:val="fr-FR"/>
        </w:rPr>
        <w:t>novembre 2020</w:t>
      </w:r>
    </w:p>
    <w:sectPr w:rsidR="00E77019" w:rsidRPr="00A06A35">
      <w:headerReference w:type="default" r:id="rId10"/>
      <w:footerReference w:type="default" r:id="rId11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C795" w14:textId="77777777" w:rsidR="00AC40B3" w:rsidRDefault="00AC40B3">
      <w:r>
        <w:separator/>
      </w:r>
    </w:p>
  </w:endnote>
  <w:endnote w:type="continuationSeparator" w:id="0">
    <w:p w14:paraId="3208168F" w14:textId="77777777" w:rsidR="00AC40B3" w:rsidRDefault="00AC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7E4" w14:textId="77777777" w:rsidR="00E77019" w:rsidRDefault="00E7701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0ED2" w14:textId="77777777" w:rsidR="00AC40B3" w:rsidRDefault="00AC40B3">
      <w:r>
        <w:separator/>
      </w:r>
    </w:p>
  </w:footnote>
  <w:footnote w:type="continuationSeparator" w:id="0">
    <w:p w14:paraId="6B5ED01D" w14:textId="77777777" w:rsidR="00AC40B3" w:rsidRDefault="00AC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FA8B" w14:textId="29CF683F" w:rsidR="00E77019" w:rsidRDefault="007C54E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CA7556D" wp14:editId="307C40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24F5D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A84E9C7" wp14:editId="28092D18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13B53C" wp14:editId="43DA6851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529" w14:textId="1E47B4D9" w:rsidR="00E77019" w:rsidRDefault="00497C4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90822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B53C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" stroked="f" strokeweight="1pt">
              <v:stroke miterlimit="4"/>
              <v:textbox inset="3.6pt,,3.6pt">
                <w:txbxContent>
                  <w:p w14:paraId="261C6529" w14:textId="1E47B4D9" w:rsidR="00E77019" w:rsidRDefault="00497C4D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90822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96A25E34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50C2B"/>
    <w:rsid w:val="000658D9"/>
    <w:rsid w:val="00071614"/>
    <w:rsid w:val="00077DD2"/>
    <w:rsid w:val="000953A3"/>
    <w:rsid w:val="0009794B"/>
    <w:rsid w:val="00097B12"/>
    <w:rsid w:val="000B20A3"/>
    <w:rsid w:val="000B59DF"/>
    <w:rsid w:val="000D250A"/>
    <w:rsid w:val="000E0DB4"/>
    <w:rsid w:val="000E23E4"/>
    <w:rsid w:val="000E71A7"/>
    <w:rsid w:val="000F24D8"/>
    <w:rsid w:val="00114FE0"/>
    <w:rsid w:val="00124A76"/>
    <w:rsid w:val="001467AB"/>
    <w:rsid w:val="0015239E"/>
    <w:rsid w:val="00155345"/>
    <w:rsid w:val="00160663"/>
    <w:rsid w:val="00175461"/>
    <w:rsid w:val="0018354D"/>
    <w:rsid w:val="00191FF5"/>
    <w:rsid w:val="001C1C60"/>
    <w:rsid w:val="0022432E"/>
    <w:rsid w:val="00234191"/>
    <w:rsid w:val="00243210"/>
    <w:rsid w:val="00253F3A"/>
    <w:rsid w:val="00256769"/>
    <w:rsid w:val="00287C62"/>
    <w:rsid w:val="002A3758"/>
    <w:rsid w:val="002C1AD0"/>
    <w:rsid w:val="002E5D67"/>
    <w:rsid w:val="003076AD"/>
    <w:rsid w:val="00310703"/>
    <w:rsid w:val="003241F7"/>
    <w:rsid w:val="00330ADB"/>
    <w:rsid w:val="00333081"/>
    <w:rsid w:val="00364712"/>
    <w:rsid w:val="00372024"/>
    <w:rsid w:val="003747D1"/>
    <w:rsid w:val="003930B7"/>
    <w:rsid w:val="00395CEF"/>
    <w:rsid w:val="003E4D8B"/>
    <w:rsid w:val="00400CE5"/>
    <w:rsid w:val="00406182"/>
    <w:rsid w:val="004330CB"/>
    <w:rsid w:val="004541A8"/>
    <w:rsid w:val="00477EB0"/>
    <w:rsid w:val="00486E84"/>
    <w:rsid w:val="00486ED4"/>
    <w:rsid w:val="00490B24"/>
    <w:rsid w:val="00494FEC"/>
    <w:rsid w:val="00497C4D"/>
    <w:rsid w:val="004B1F47"/>
    <w:rsid w:val="004C2D99"/>
    <w:rsid w:val="004F6A11"/>
    <w:rsid w:val="004F7D4D"/>
    <w:rsid w:val="00521688"/>
    <w:rsid w:val="005433C5"/>
    <w:rsid w:val="005539BC"/>
    <w:rsid w:val="005760BB"/>
    <w:rsid w:val="005B0616"/>
    <w:rsid w:val="005D3FA8"/>
    <w:rsid w:val="005D6F85"/>
    <w:rsid w:val="005D7EBF"/>
    <w:rsid w:val="005F17E8"/>
    <w:rsid w:val="00601685"/>
    <w:rsid w:val="00613292"/>
    <w:rsid w:val="00643058"/>
    <w:rsid w:val="00652C4C"/>
    <w:rsid w:val="00677CC8"/>
    <w:rsid w:val="006810E8"/>
    <w:rsid w:val="00697357"/>
    <w:rsid w:val="006A5B42"/>
    <w:rsid w:val="006B52C1"/>
    <w:rsid w:val="006C0D12"/>
    <w:rsid w:val="006C2184"/>
    <w:rsid w:val="006C65AF"/>
    <w:rsid w:val="006D0827"/>
    <w:rsid w:val="006F791F"/>
    <w:rsid w:val="00715AC8"/>
    <w:rsid w:val="007354F9"/>
    <w:rsid w:val="00737B00"/>
    <w:rsid w:val="007A1614"/>
    <w:rsid w:val="007A2D4F"/>
    <w:rsid w:val="007C54E7"/>
    <w:rsid w:val="007C7957"/>
    <w:rsid w:val="00825D80"/>
    <w:rsid w:val="00826D90"/>
    <w:rsid w:val="00837222"/>
    <w:rsid w:val="008440C0"/>
    <w:rsid w:val="00845929"/>
    <w:rsid w:val="00846723"/>
    <w:rsid w:val="008553FB"/>
    <w:rsid w:val="00892EB6"/>
    <w:rsid w:val="00896574"/>
    <w:rsid w:val="008C6C11"/>
    <w:rsid w:val="008E660D"/>
    <w:rsid w:val="008F38AD"/>
    <w:rsid w:val="00900518"/>
    <w:rsid w:val="009234B5"/>
    <w:rsid w:val="00967353"/>
    <w:rsid w:val="00986B19"/>
    <w:rsid w:val="009934CC"/>
    <w:rsid w:val="009A599E"/>
    <w:rsid w:val="009C0F34"/>
    <w:rsid w:val="00A06A35"/>
    <w:rsid w:val="00A440F2"/>
    <w:rsid w:val="00A63A04"/>
    <w:rsid w:val="00A91C26"/>
    <w:rsid w:val="00A967AC"/>
    <w:rsid w:val="00AC40B3"/>
    <w:rsid w:val="00AE058B"/>
    <w:rsid w:val="00AE5012"/>
    <w:rsid w:val="00AF32F5"/>
    <w:rsid w:val="00B21437"/>
    <w:rsid w:val="00B32B8F"/>
    <w:rsid w:val="00B3675F"/>
    <w:rsid w:val="00B57CAD"/>
    <w:rsid w:val="00BA1E92"/>
    <w:rsid w:val="00BD1EC1"/>
    <w:rsid w:val="00BD5D3F"/>
    <w:rsid w:val="00BE5853"/>
    <w:rsid w:val="00C00D0F"/>
    <w:rsid w:val="00C03358"/>
    <w:rsid w:val="00C111DE"/>
    <w:rsid w:val="00C15314"/>
    <w:rsid w:val="00C23954"/>
    <w:rsid w:val="00C3470B"/>
    <w:rsid w:val="00C45CEC"/>
    <w:rsid w:val="00C802E7"/>
    <w:rsid w:val="00C83B9F"/>
    <w:rsid w:val="00C93831"/>
    <w:rsid w:val="00CB2AFD"/>
    <w:rsid w:val="00CC66BD"/>
    <w:rsid w:val="00CF6CDE"/>
    <w:rsid w:val="00D33E52"/>
    <w:rsid w:val="00D406B4"/>
    <w:rsid w:val="00D560A4"/>
    <w:rsid w:val="00D90822"/>
    <w:rsid w:val="00D916EC"/>
    <w:rsid w:val="00DB2FA8"/>
    <w:rsid w:val="00DC3813"/>
    <w:rsid w:val="00DD7A17"/>
    <w:rsid w:val="00E617EF"/>
    <w:rsid w:val="00E77019"/>
    <w:rsid w:val="00E86877"/>
    <w:rsid w:val="00E86B01"/>
    <w:rsid w:val="00EA5E1E"/>
    <w:rsid w:val="00ED20F4"/>
    <w:rsid w:val="00ED24DD"/>
    <w:rsid w:val="00ED6BD5"/>
    <w:rsid w:val="00EE791B"/>
    <w:rsid w:val="00F04588"/>
    <w:rsid w:val="00F206CF"/>
    <w:rsid w:val="00F341F9"/>
    <w:rsid w:val="00F46B54"/>
    <w:rsid w:val="00F50302"/>
    <w:rsid w:val="00F937D5"/>
    <w:rsid w:val="00F965E3"/>
    <w:rsid w:val="00FB2BFB"/>
    <w:rsid w:val="00FB6381"/>
    <w:rsid w:val="00FC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6B4"/>
  <w15:docId w15:val="{8AB0FBDD-5455-42DD-A61C-8F5CCD6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">
    <w:name w:val="Table Normal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DA95-D94B-4A66-83D5-971C3CF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dcterms:created xsi:type="dcterms:W3CDTF">2020-11-13T18:06:00Z</dcterms:created>
  <dcterms:modified xsi:type="dcterms:W3CDTF">2020-11-13T18:06:00Z</dcterms:modified>
</cp:coreProperties>
</file>