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88BDF" w14:textId="5FB8B91C" w:rsidR="00E445E5" w:rsidRDefault="00E445E5" w:rsidP="006379A3">
      <w:pPr>
        <w:ind w:left="2127"/>
        <w:jc w:val="both"/>
        <w:rPr>
          <w:i/>
          <w:sz w:val="25"/>
          <w:szCs w:val="25"/>
        </w:rPr>
      </w:pPr>
      <w:r>
        <w:rPr>
          <w:i/>
          <w:sz w:val="25"/>
          <w:szCs w:val="25"/>
        </w:rPr>
        <w:t>Comunicato stampa</w:t>
      </w:r>
    </w:p>
    <w:p w14:paraId="0C05B010" w14:textId="77777777" w:rsidR="00E445E5" w:rsidRDefault="00E445E5" w:rsidP="006379A3">
      <w:pPr>
        <w:ind w:left="2127"/>
        <w:jc w:val="both"/>
        <w:rPr>
          <w:i/>
          <w:sz w:val="25"/>
          <w:szCs w:val="25"/>
        </w:rPr>
      </w:pPr>
    </w:p>
    <w:p w14:paraId="77EED47A" w14:textId="77777777" w:rsidR="006379A3" w:rsidRPr="006379A3" w:rsidRDefault="006379A3" w:rsidP="006379A3">
      <w:pPr>
        <w:ind w:left="2127"/>
        <w:jc w:val="both"/>
        <w:rPr>
          <w:b/>
          <w:bCs/>
          <w:sz w:val="28"/>
          <w:szCs w:val="28"/>
        </w:rPr>
      </w:pPr>
      <w:r w:rsidRPr="006379A3">
        <w:rPr>
          <w:b/>
          <w:bCs/>
          <w:sz w:val="28"/>
          <w:szCs w:val="28"/>
        </w:rPr>
        <w:t>Macchine agricole, primo trimestre in calo ma il mercato resta su livelli elevati</w:t>
      </w:r>
    </w:p>
    <w:p w14:paraId="205A3C91" w14:textId="77777777" w:rsidR="006379A3" w:rsidRPr="00331D73" w:rsidRDefault="006379A3" w:rsidP="006379A3">
      <w:pPr>
        <w:ind w:left="2127"/>
        <w:jc w:val="both"/>
        <w:rPr>
          <w:b/>
          <w:bCs/>
        </w:rPr>
      </w:pPr>
    </w:p>
    <w:p w14:paraId="40D23E0C" w14:textId="77777777" w:rsidR="006379A3" w:rsidRPr="006379A3" w:rsidRDefault="006379A3" w:rsidP="006379A3">
      <w:pPr>
        <w:ind w:left="2127"/>
        <w:jc w:val="both"/>
        <w:rPr>
          <w:b/>
          <w:bCs/>
          <w:i/>
          <w:iCs/>
        </w:rPr>
      </w:pPr>
      <w:r w:rsidRPr="006379A3">
        <w:rPr>
          <w:b/>
          <w:bCs/>
          <w:i/>
          <w:iCs/>
        </w:rPr>
        <w:t>I primi tre mesi dell’anno registrano una flessione delle vendite di macchine agricole rispetto allo stesso periodo del 2021. La contrazione del mercato fisiologica rispetto ai livelli record toccati nel primo trimestre dello scorso anno. Gli incentivi si confermano strumento di sostegno al mercato ma le incertezze geopolitiche possono pesare nei mesi prossimi</w:t>
      </w:r>
    </w:p>
    <w:p w14:paraId="5CA3351D" w14:textId="77777777" w:rsidR="006379A3" w:rsidRDefault="006379A3" w:rsidP="006379A3">
      <w:pPr>
        <w:ind w:left="2127"/>
        <w:jc w:val="both"/>
      </w:pPr>
    </w:p>
    <w:p w14:paraId="374723B7" w14:textId="77777777" w:rsidR="006379A3" w:rsidRDefault="006379A3" w:rsidP="006379A3">
      <w:pPr>
        <w:ind w:left="2127"/>
        <w:jc w:val="both"/>
      </w:pPr>
      <w:r>
        <w:t>Il mercato delle macchine rivela una buona tenuta nel primo trimestre dell’anno, sia pure con una flessione rispetto ai volumi record toccati nello stesso periodo del 2021.</w:t>
      </w:r>
      <w:r w:rsidRPr="00BA798B">
        <w:t xml:space="preserve"> I dati sulle immatricolazioni, elaborati da </w:t>
      </w:r>
      <w:proofErr w:type="spellStart"/>
      <w:r w:rsidRPr="00BA798B">
        <w:t>FederUnacoma</w:t>
      </w:r>
      <w:proofErr w:type="spellEnd"/>
      <w:r w:rsidRPr="00BA798B">
        <w:t xml:space="preserve"> sulla base delle registrazioni fornite dal Ministero dei Trasporti, indicano </w:t>
      </w:r>
      <w:r>
        <w:t xml:space="preserve">per le trattrici un totale di circa 5.400 unità vendute, in calo del 9.9% rispetto al primo trimestre dello scorso scoro anno quando le immatricolazioni avevano registrato un incremento del 57,6% sul 2020. </w:t>
      </w:r>
    </w:p>
    <w:p w14:paraId="7C3982CE" w14:textId="4879450A" w:rsidR="006379A3" w:rsidRDefault="006379A3" w:rsidP="006379A3">
      <w:pPr>
        <w:ind w:left="2127"/>
        <w:jc w:val="both"/>
      </w:pPr>
      <w:r>
        <w:t xml:space="preserve">Nei primi tre mesi del 2022 le vendite di mietitrebbie toccano le 41 unità con una flessione del 26,8% rispetto all’anno precedente (nel primo trimestre del 2021 erano cresciute del 180% sul 2020), mentre le immatricolazioni di trattrici con pianale di carico raggiungono quota 132 mezzi, in calo del 10.2% rispetto ai primi tre mesi del 2021 (+21,5% sul 2020). Su livelli elevati si confermano pure i rimorchi e i sollevatori telescopici che chiudono la prima frazione dell’anno, rispettivamente, con 1.944         </w:t>
      </w:r>
      <w:proofErr w:type="gramStart"/>
      <w:r>
        <w:t xml:space="preserve">   (</w:t>
      </w:r>
      <w:proofErr w:type="gramEnd"/>
      <w:r>
        <w:t>-8.2%) e con 309 (-18,7%) unità vendute. Anche per queste due tipologie di macchine la flessione del 2022 ha un peso relativo, giacché riferita a un trimestre che nel 2021 aveva visto incrementi record delle immatricolazioni (rispetto al 2020: +37,4% per i rimorchi, +86,3% per i sollevatori).</w:t>
      </w:r>
    </w:p>
    <w:p w14:paraId="69698106" w14:textId="77777777" w:rsidR="006379A3" w:rsidRDefault="006379A3" w:rsidP="006379A3">
      <w:pPr>
        <w:ind w:left="2127"/>
        <w:jc w:val="both"/>
      </w:pPr>
      <w:r>
        <w:t>Dopo un 2021 caratterizzato da volumi di vendita straordinariamente elevati</w:t>
      </w:r>
      <w:r w:rsidRPr="00113A73">
        <w:t xml:space="preserve"> </w:t>
      </w:r>
      <w:r>
        <w:t>per il mercato delle macchine agricole, la battuta d’arresto osservata da gennaio a marzo può dunque considerarsi fisiologica,</w:t>
      </w:r>
      <w:r w:rsidRPr="00D74D24">
        <w:t xml:space="preserve"> </w:t>
      </w:r>
      <w:proofErr w:type="gramStart"/>
      <w:r>
        <w:t>giacché  la</w:t>
      </w:r>
      <w:proofErr w:type="gramEnd"/>
      <w:r>
        <w:t xml:space="preserve"> domanda di tecnologie per l’agricoltura continua ad essere sostenuta. La transizione verso l’agricoltura 4.0, con gli investimenti per l’acquisto di mezzi meccanici di ultima generazione, e la presenza</w:t>
      </w:r>
      <w:r w:rsidRPr="00D55F67">
        <w:t xml:space="preserve"> </w:t>
      </w:r>
      <w:r>
        <w:t xml:space="preserve">simultanea di più strumenti di finanziamento per l’acquisto di macchine agricole, (credito per il 4.0, Nuova Sabatini, PNRR, PSR, Bando ISI-Inail) contribuiscono a sostenere tale domanda. Tuttavia, nel prosieguo dell’anno, l’andamento delle vendite sarà inevitabilmente condizionato da elementi congiunturali molto rilevanti. </w:t>
      </w:r>
    </w:p>
    <w:p w14:paraId="455C20E8" w14:textId="2C5F91CF" w:rsidR="006379A3" w:rsidRDefault="006379A3" w:rsidP="006379A3">
      <w:pPr>
        <w:ind w:left="2127"/>
        <w:jc w:val="both"/>
      </w:pPr>
      <w:r>
        <w:t xml:space="preserve">«Ci troviamo in una fase congiunturale contraddittoria giacché, a fronte di un buon andamento della domanda di macchinari, la volatilità dei prezzi e la difficoltà negli approvvigionamenti delle materie prime, notevolmente aggravati dalla guerra in Ucraina, minacciano la crescita del mercato», spiega il presidente di </w:t>
      </w:r>
      <w:proofErr w:type="spellStart"/>
      <w:r>
        <w:t>FederUnacoma</w:t>
      </w:r>
      <w:proofErr w:type="spellEnd"/>
      <w:r>
        <w:t xml:space="preserve">, Alessandro Malavolti. L’emergenza commodity non colpisce soltanto l’industria </w:t>
      </w:r>
      <w:proofErr w:type="spellStart"/>
      <w:r>
        <w:t>agromeccanica</w:t>
      </w:r>
      <w:proofErr w:type="spellEnd"/>
      <w:r>
        <w:t xml:space="preserve">, rendendo tra l’altro molto più onerosi i processi produttivi, ma investe anche il settore agricolo che, sulla spinta di un incremento generalizzato dei costi (soprattutto quelli relativi a energia e fertilizzanti), vede diminuire le proprie capacità di investimento. «In questo scenario – conclude Malavolti – è necessario combinare strategie sul brevissimo periodo con una visione strategica a lungo termine, finalizzata </w:t>
      </w:r>
      <w:r>
        <w:lastRenderedPageBreak/>
        <w:t>anche ad esperire nuovi canali e modalità di approvvigionamento per le materie prime».</w:t>
      </w:r>
    </w:p>
    <w:p w14:paraId="6CA963B9" w14:textId="77777777" w:rsidR="00EB6391" w:rsidRPr="00622326" w:rsidRDefault="00EB6391" w:rsidP="006379A3">
      <w:pPr>
        <w:ind w:left="2127"/>
        <w:jc w:val="both"/>
        <w:rPr>
          <w:b/>
          <w:sz w:val="25"/>
          <w:szCs w:val="25"/>
        </w:rPr>
      </w:pPr>
    </w:p>
    <w:p w14:paraId="0D0ED72D" w14:textId="6886EF09" w:rsidR="00A777B8" w:rsidRDefault="006379A3" w:rsidP="006379A3">
      <w:pPr>
        <w:spacing w:after="160" w:line="259" w:lineRule="auto"/>
        <w:ind w:left="2127"/>
        <w:jc w:val="both"/>
        <w:rPr>
          <w:b/>
          <w:sz w:val="25"/>
          <w:szCs w:val="25"/>
        </w:rPr>
      </w:pPr>
      <w:r>
        <w:rPr>
          <w:b/>
          <w:sz w:val="25"/>
          <w:szCs w:val="25"/>
        </w:rPr>
        <w:t>Roma</w:t>
      </w:r>
      <w:r w:rsidR="00776788" w:rsidRPr="00622326">
        <w:rPr>
          <w:b/>
          <w:sz w:val="25"/>
          <w:szCs w:val="25"/>
        </w:rPr>
        <w:t xml:space="preserve">, </w:t>
      </w:r>
      <w:r w:rsidR="007F17F6">
        <w:rPr>
          <w:b/>
          <w:sz w:val="25"/>
          <w:szCs w:val="25"/>
        </w:rPr>
        <w:t>1</w:t>
      </w:r>
      <w:r>
        <w:rPr>
          <w:b/>
          <w:sz w:val="25"/>
          <w:szCs w:val="25"/>
        </w:rPr>
        <w:t xml:space="preserve">4 aprile </w:t>
      </w:r>
      <w:r w:rsidR="00776788" w:rsidRPr="00622326">
        <w:rPr>
          <w:b/>
          <w:sz w:val="25"/>
          <w:szCs w:val="25"/>
        </w:rPr>
        <w:t>202</w:t>
      </w:r>
      <w:r w:rsidR="0073178F">
        <w:rPr>
          <w:b/>
          <w:sz w:val="25"/>
          <w:szCs w:val="25"/>
        </w:rPr>
        <w:t>2</w:t>
      </w:r>
    </w:p>
    <w:p w14:paraId="1B8D1FF6" w14:textId="100FE53B" w:rsidR="00C67FAE" w:rsidRDefault="00C67FAE" w:rsidP="006379A3">
      <w:pPr>
        <w:spacing w:after="160" w:line="259" w:lineRule="auto"/>
        <w:ind w:left="2127"/>
        <w:jc w:val="both"/>
        <w:rPr>
          <w:b/>
          <w:sz w:val="25"/>
          <w:szCs w:val="25"/>
        </w:rPr>
      </w:pPr>
    </w:p>
    <w:p w14:paraId="4CD9B923" w14:textId="30F1CF37" w:rsidR="00C67FAE" w:rsidRDefault="00C67FAE" w:rsidP="00C67FAE">
      <w:pPr>
        <w:spacing w:after="160" w:line="259" w:lineRule="auto"/>
        <w:ind w:left="2127" w:hanging="1134"/>
        <w:jc w:val="right"/>
        <w:rPr>
          <w:b/>
          <w:sz w:val="25"/>
          <w:szCs w:val="25"/>
        </w:rPr>
      </w:pPr>
      <w:r>
        <w:rPr>
          <w:b/>
          <w:noProof/>
          <w:sz w:val="25"/>
          <w:szCs w:val="25"/>
        </w:rPr>
        <w:drawing>
          <wp:inline distT="0" distB="0" distL="0" distR="0" wp14:anchorId="3A259629" wp14:editId="0F430016">
            <wp:extent cx="5292090" cy="4570092"/>
            <wp:effectExtent l="0" t="0" r="381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2538" cy="4587750"/>
                    </a:xfrm>
                    <a:prstGeom prst="rect">
                      <a:avLst/>
                    </a:prstGeom>
                    <a:noFill/>
                    <a:ln>
                      <a:noFill/>
                    </a:ln>
                  </pic:spPr>
                </pic:pic>
              </a:graphicData>
            </a:graphic>
          </wp:inline>
        </w:drawing>
      </w:r>
    </w:p>
    <w:p w14:paraId="3E3B0D33" w14:textId="7A7643A7" w:rsidR="00DF67ED" w:rsidRDefault="00DF67ED" w:rsidP="007F17F6">
      <w:pPr>
        <w:spacing w:after="160" w:line="259" w:lineRule="auto"/>
        <w:jc w:val="both"/>
        <w:rPr>
          <w:b/>
          <w:sz w:val="25"/>
          <w:szCs w:val="25"/>
        </w:rPr>
      </w:pPr>
    </w:p>
    <w:p w14:paraId="260E4D9D" w14:textId="76D0B057" w:rsidR="00DF67ED" w:rsidRDefault="00DF67ED" w:rsidP="0073178F">
      <w:pPr>
        <w:spacing w:after="160" w:line="259" w:lineRule="auto"/>
        <w:jc w:val="both"/>
        <w:rPr>
          <w:b/>
          <w:sz w:val="25"/>
          <w:szCs w:val="25"/>
        </w:rPr>
      </w:pPr>
      <w:r>
        <w:rPr>
          <w:b/>
          <w:sz w:val="25"/>
          <w:szCs w:val="25"/>
        </w:rPr>
        <w:t xml:space="preserve">                </w:t>
      </w:r>
      <w:r>
        <w:rPr>
          <w:b/>
          <w:sz w:val="25"/>
          <w:szCs w:val="25"/>
        </w:rPr>
        <w:tab/>
        <w:t xml:space="preserve">    </w:t>
      </w:r>
      <w:hyperlink r:id="rId8" w:history="1"/>
      <w:r w:rsidR="00E445E5">
        <w:rPr>
          <w:rStyle w:val="Collegamentoipertestuale"/>
          <w:b/>
          <w:sz w:val="25"/>
          <w:szCs w:val="25"/>
        </w:rPr>
        <w:t xml:space="preserve"> </w:t>
      </w:r>
    </w:p>
    <w:p w14:paraId="68310AD9" w14:textId="3C7A1773" w:rsidR="0025180B" w:rsidRDefault="0025180B" w:rsidP="0073178F">
      <w:pPr>
        <w:spacing w:after="160" w:line="259" w:lineRule="auto"/>
        <w:jc w:val="both"/>
        <w:rPr>
          <w:b/>
          <w:sz w:val="25"/>
          <w:szCs w:val="25"/>
        </w:rPr>
      </w:pPr>
    </w:p>
    <w:p w14:paraId="32E270D8" w14:textId="340FCEAF" w:rsidR="0025180B" w:rsidRDefault="0025180B" w:rsidP="0073178F">
      <w:pPr>
        <w:spacing w:after="160" w:line="259" w:lineRule="auto"/>
        <w:jc w:val="both"/>
        <w:rPr>
          <w:b/>
          <w:sz w:val="25"/>
          <w:szCs w:val="25"/>
        </w:rPr>
      </w:pPr>
    </w:p>
    <w:p w14:paraId="2EB4A79E" w14:textId="49FF1898" w:rsidR="0025180B" w:rsidRPr="00622326" w:rsidRDefault="0025180B" w:rsidP="00CF4D28">
      <w:pPr>
        <w:spacing w:after="160" w:line="259" w:lineRule="auto"/>
        <w:jc w:val="right"/>
        <w:rPr>
          <w:b/>
          <w:sz w:val="25"/>
          <w:szCs w:val="25"/>
        </w:rPr>
      </w:pPr>
    </w:p>
    <w:sectPr w:rsidR="0025180B" w:rsidRPr="00622326" w:rsidSect="002209C1">
      <w:headerReference w:type="default" r:id="rId9"/>
      <w:footerReference w:type="default" r:id="rId10"/>
      <w:pgSz w:w="11906" w:h="16838"/>
      <w:pgMar w:top="567" w:right="425" w:bottom="828" w:left="1134" w:header="709" w:footer="19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68E18" w14:textId="77777777" w:rsidR="00FB4F57" w:rsidRDefault="00FB4F57">
      <w:r>
        <w:separator/>
      </w:r>
    </w:p>
  </w:endnote>
  <w:endnote w:type="continuationSeparator" w:id="0">
    <w:p w14:paraId="4680CE88" w14:textId="77777777" w:rsidR="00FB4F57" w:rsidRDefault="00FB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2382" w14:textId="77777777" w:rsidR="00CB2699" w:rsidRDefault="00CB2699">
    <w:pPr>
      <w:pStyle w:val="Pidipagina"/>
      <w:jc w:val="right"/>
    </w:pPr>
    <w:r>
      <w:fldChar w:fldCharType="begin"/>
    </w:r>
    <w:r>
      <w:instrText>PAGE   \* MERGEFORMAT</w:instrText>
    </w:r>
    <w:r>
      <w:fldChar w:fldCharType="separate"/>
    </w:r>
    <w:r w:rsidR="00187D75" w:rsidRPr="00187D75">
      <w:rPr>
        <w:noProof/>
        <w:lang w:val="it-IT"/>
      </w:rPr>
      <w:t>1</w:t>
    </w:r>
    <w:r>
      <w:fldChar w:fldCharType="end"/>
    </w:r>
  </w:p>
  <w:p w14:paraId="56622012" w14:textId="77777777" w:rsidR="00CB2699" w:rsidRDefault="00CB269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87E79" w14:textId="77777777" w:rsidR="00FB4F57" w:rsidRDefault="00FB4F57">
      <w:r>
        <w:separator/>
      </w:r>
    </w:p>
  </w:footnote>
  <w:footnote w:type="continuationSeparator" w:id="0">
    <w:p w14:paraId="567A0DA8" w14:textId="77777777" w:rsidR="00FB4F57" w:rsidRDefault="00FB4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4EC7D" w14:textId="02FF2AE3" w:rsidR="00CB2699" w:rsidRDefault="00CB2699" w:rsidP="00066D70">
    <w:pPr>
      <w:pStyle w:val="Intestazione"/>
      <w:tabs>
        <w:tab w:val="clear" w:pos="9638"/>
      </w:tabs>
    </w:pPr>
    <w:r>
      <w:rPr>
        <w:noProof/>
      </w:rPr>
      <w:drawing>
        <wp:anchor distT="0" distB="0" distL="114300" distR="114300" simplePos="0" relativeHeight="251657728" behindDoc="1" locked="0" layoutInCell="1" allowOverlap="1" wp14:anchorId="3C8DC445" wp14:editId="6BA4A3AA">
          <wp:simplePos x="0" y="0"/>
          <wp:positionH relativeFrom="margin">
            <wp:posOffset>-821055</wp:posOffset>
          </wp:positionH>
          <wp:positionV relativeFrom="paragraph">
            <wp:posOffset>-447040</wp:posOffset>
          </wp:positionV>
          <wp:extent cx="7560310" cy="10676255"/>
          <wp:effectExtent l="0" t="0" r="254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762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5953D2"/>
    <w:multiLevelType w:val="hybridMultilevel"/>
    <w:tmpl w:val="6FAEF17A"/>
    <w:lvl w:ilvl="0" w:tplc="1CCAB1AA">
      <w:start w:val="1"/>
      <w:numFmt w:val="bullet"/>
      <w:lvlText w:val=""/>
      <w:lvlJc w:val="left"/>
      <w:pPr>
        <w:tabs>
          <w:tab w:val="num" w:pos="360"/>
        </w:tabs>
        <w:ind w:left="360" w:hanging="360"/>
      </w:pPr>
      <w:rPr>
        <w:rFonts w:ascii="Symbol" w:hAnsi="Symbol" w:hint="default"/>
      </w:rPr>
    </w:lvl>
    <w:lvl w:ilvl="1" w:tplc="3854623A" w:tentative="1">
      <w:start w:val="1"/>
      <w:numFmt w:val="bullet"/>
      <w:lvlText w:val="o"/>
      <w:lvlJc w:val="left"/>
      <w:pPr>
        <w:tabs>
          <w:tab w:val="num" w:pos="1080"/>
        </w:tabs>
        <w:ind w:left="1080" w:hanging="360"/>
      </w:pPr>
      <w:rPr>
        <w:rFonts w:ascii="Courier New" w:hAnsi="Courier New" w:cs="Arial" w:hint="default"/>
      </w:rPr>
    </w:lvl>
    <w:lvl w:ilvl="2" w:tplc="D3AC2E46" w:tentative="1">
      <w:start w:val="1"/>
      <w:numFmt w:val="bullet"/>
      <w:lvlText w:val=""/>
      <w:lvlJc w:val="left"/>
      <w:pPr>
        <w:tabs>
          <w:tab w:val="num" w:pos="1800"/>
        </w:tabs>
        <w:ind w:left="1800" w:hanging="360"/>
      </w:pPr>
      <w:rPr>
        <w:rFonts w:ascii="Wingdings" w:hAnsi="Wingdings" w:hint="default"/>
      </w:rPr>
    </w:lvl>
    <w:lvl w:ilvl="3" w:tplc="AB4E666E" w:tentative="1">
      <w:start w:val="1"/>
      <w:numFmt w:val="bullet"/>
      <w:lvlText w:val=""/>
      <w:lvlJc w:val="left"/>
      <w:pPr>
        <w:tabs>
          <w:tab w:val="num" w:pos="2520"/>
        </w:tabs>
        <w:ind w:left="2520" w:hanging="360"/>
      </w:pPr>
      <w:rPr>
        <w:rFonts w:ascii="Symbol" w:hAnsi="Symbol" w:hint="default"/>
      </w:rPr>
    </w:lvl>
    <w:lvl w:ilvl="4" w:tplc="05364ADC" w:tentative="1">
      <w:start w:val="1"/>
      <w:numFmt w:val="bullet"/>
      <w:lvlText w:val="o"/>
      <w:lvlJc w:val="left"/>
      <w:pPr>
        <w:tabs>
          <w:tab w:val="num" w:pos="3240"/>
        </w:tabs>
        <w:ind w:left="3240" w:hanging="360"/>
      </w:pPr>
      <w:rPr>
        <w:rFonts w:ascii="Courier New" w:hAnsi="Courier New" w:cs="Arial" w:hint="default"/>
      </w:rPr>
    </w:lvl>
    <w:lvl w:ilvl="5" w:tplc="6CDE0F08" w:tentative="1">
      <w:start w:val="1"/>
      <w:numFmt w:val="bullet"/>
      <w:lvlText w:val=""/>
      <w:lvlJc w:val="left"/>
      <w:pPr>
        <w:tabs>
          <w:tab w:val="num" w:pos="3960"/>
        </w:tabs>
        <w:ind w:left="3960" w:hanging="360"/>
      </w:pPr>
      <w:rPr>
        <w:rFonts w:ascii="Wingdings" w:hAnsi="Wingdings" w:hint="default"/>
      </w:rPr>
    </w:lvl>
    <w:lvl w:ilvl="6" w:tplc="E4B47A06" w:tentative="1">
      <w:start w:val="1"/>
      <w:numFmt w:val="bullet"/>
      <w:lvlText w:val=""/>
      <w:lvlJc w:val="left"/>
      <w:pPr>
        <w:tabs>
          <w:tab w:val="num" w:pos="4680"/>
        </w:tabs>
        <w:ind w:left="4680" w:hanging="360"/>
      </w:pPr>
      <w:rPr>
        <w:rFonts w:ascii="Symbol" w:hAnsi="Symbol" w:hint="default"/>
      </w:rPr>
    </w:lvl>
    <w:lvl w:ilvl="7" w:tplc="B45EF248" w:tentative="1">
      <w:start w:val="1"/>
      <w:numFmt w:val="bullet"/>
      <w:lvlText w:val="o"/>
      <w:lvlJc w:val="left"/>
      <w:pPr>
        <w:tabs>
          <w:tab w:val="num" w:pos="5400"/>
        </w:tabs>
        <w:ind w:left="5400" w:hanging="360"/>
      </w:pPr>
      <w:rPr>
        <w:rFonts w:ascii="Courier New" w:hAnsi="Courier New" w:cs="Arial" w:hint="default"/>
      </w:rPr>
    </w:lvl>
    <w:lvl w:ilvl="8" w:tplc="6E7859A8" w:tentative="1">
      <w:start w:val="1"/>
      <w:numFmt w:val="bullet"/>
      <w:lvlText w:val=""/>
      <w:lvlJc w:val="left"/>
      <w:pPr>
        <w:tabs>
          <w:tab w:val="num" w:pos="6120"/>
        </w:tabs>
        <w:ind w:left="6120" w:hanging="360"/>
      </w:pPr>
      <w:rPr>
        <w:rFonts w:ascii="Wingdings" w:hAnsi="Wingdings" w:hint="default"/>
      </w:rPr>
    </w:lvl>
  </w:abstractNum>
  <w:num w:numId="1" w16cid:durableId="1720586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62D"/>
    <w:rsid w:val="00001397"/>
    <w:rsid w:val="00003527"/>
    <w:rsid w:val="0003002D"/>
    <w:rsid w:val="00033748"/>
    <w:rsid w:val="000337C4"/>
    <w:rsid w:val="00033FCD"/>
    <w:rsid w:val="000409E0"/>
    <w:rsid w:val="00063F49"/>
    <w:rsid w:val="00066D70"/>
    <w:rsid w:val="000710A8"/>
    <w:rsid w:val="00073904"/>
    <w:rsid w:val="00074CA5"/>
    <w:rsid w:val="00074FE4"/>
    <w:rsid w:val="00082881"/>
    <w:rsid w:val="00086ABB"/>
    <w:rsid w:val="00097520"/>
    <w:rsid w:val="000A40D6"/>
    <w:rsid w:val="000B5F3B"/>
    <w:rsid w:val="000C3C5A"/>
    <w:rsid w:val="000D1498"/>
    <w:rsid w:val="000D2A17"/>
    <w:rsid w:val="000D7055"/>
    <w:rsid w:val="000E2858"/>
    <w:rsid w:val="000E549D"/>
    <w:rsid w:val="000F7E1E"/>
    <w:rsid w:val="0010091E"/>
    <w:rsid w:val="00103ECE"/>
    <w:rsid w:val="00106416"/>
    <w:rsid w:val="00107CF1"/>
    <w:rsid w:val="0011547B"/>
    <w:rsid w:val="00126942"/>
    <w:rsid w:val="00142BC9"/>
    <w:rsid w:val="00146570"/>
    <w:rsid w:val="00152C3B"/>
    <w:rsid w:val="00160027"/>
    <w:rsid w:val="0016127A"/>
    <w:rsid w:val="00165309"/>
    <w:rsid w:val="001741B8"/>
    <w:rsid w:val="001819EF"/>
    <w:rsid w:val="00187D75"/>
    <w:rsid w:val="00191954"/>
    <w:rsid w:val="00192B06"/>
    <w:rsid w:val="00192F24"/>
    <w:rsid w:val="00196112"/>
    <w:rsid w:val="0019614F"/>
    <w:rsid w:val="001A3C20"/>
    <w:rsid w:val="001A4F39"/>
    <w:rsid w:val="001A717B"/>
    <w:rsid w:val="001B5FCF"/>
    <w:rsid w:val="001B627E"/>
    <w:rsid w:val="001C6652"/>
    <w:rsid w:val="001C76CC"/>
    <w:rsid w:val="001D56FF"/>
    <w:rsid w:val="001D7474"/>
    <w:rsid w:val="001E28EC"/>
    <w:rsid w:val="001E3929"/>
    <w:rsid w:val="001F0A16"/>
    <w:rsid w:val="001F43D1"/>
    <w:rsid w:val="002059E3"/>
    <w:rsid w:val="00207704"/>
    <w:rsid w:val="00210462"/>
    <w:rsid w:val="00210B2C"/>
    <w:rsid w:val="002175C0"/>
    <w:rsid w:val="002209C1"/>
    <w:rsid w:val="00233310"/>
    <w:rsid w:val="002373DA"/>
    <w:rsid w:val="00241738"/>
    <w:rsid w:val="00242540"/>
    <w:rsid w:val="00242F99"/>
    <w:rsid w:val="00245018"/>
    <w:rsid w:val="0025180B"/>
    <w:rsid w:val="00262E18"/>
    <w:rsid w:val="00270C14"/>
    <w:rsid w:val="002771D9"/>
    <w:rsid w:val="00280722"/>
    <w:rsid w:val="00283BB3"/>
    <w:rsid w:val="00285A33"/>
    <w:rsid w:val="00287E96"/>
    <w:rsid w:val="002902B6"/>
    <w:rsid w:val="00293124"/>
    <w:rsid w:val="00293440"/>
    <w:rsid w:val="00294EB9"/>
    <w:rsid w:val="0029566B"/>
    <w:rsid w:val="002A2BB3"/>
    <w:rsid w:val="002A4C4C"/>
    <w:rsid w:val="002A4FC7"/>
    <w:rsid w:val="002B04DE"/>
    <w:rsid w:val="002B1023"/>
    <w:rsid w:val="002B16D3"/>
    <w:rsid w:val="002B2A92"/>
    <w:rsid w:val="002C076E"/>
    <w:rsid w:val="002D0972"/>
    <w:rsid w:val="002E0762"/>
    <w:rsid w:val="002E0E25"/>
    <w:rsid w:val="002E12F9"/>
    <w:rsid w:val="002E1A80"/>
    <w:rsid w:val="002E4B67"/>
    <w:rsid w:val="002F15BD"/>
    <w:rsid w:val="002F6567"/>
    <w:rsid w:val="002F7564"/>
    <w:rsid w:val="00302659"/>
    <w:rsid w:val="00302938"/>
    <w:rsid w:val="00306B7B"/>
    <w:rsid w:val="003129B7"/>
    <w:rsid w:val="003132BB"/>
    <w:rsid w:val="00315136"/>
    <w:rsid w:val="00325831"/>
    <w:rsid w:val="00332184"/>
    <w:rsid w:val="0034203E"/>
    <w:rsid w:val="0034514B"/>
    <w:rsid w:val="00350EC8"/>
    <w:rsid w:val="00350F15"/>
    <w:rsid w:val="00352C4E"/>
    <w:rsid w:val="003574DE"/>
    <w:rsid w:val="003616E4"/>
    <w:rsid w:val="0036535D"/>
    <w:rsid w:val="003731AE"/>
    <w:rsid w:val="0038005B"/>
    <w:rsid w:val="00385EA5"/>
    <w:rsid w:val="003927D9"/>
    <w:rsid w:val="00394D08"/>
    <w:rsid w:val="003A355A"/>
    <w:rsid w:val="003A60AB"/>
    <w:rsid w:val="003A6565"/>
    <w:rsid w:val="003A7060"/>
    <w:rsid w:val="003B27E5"/>
    <w:rsid w:val="003B58CA"/>
    <w:rsid w:val="003C5D12"/>
    <w:rsid w:val="003D78B8"/>
    <w:rsid w:val="003E24F0"/>
    <w:rsid w:val="003E3957"/>
    <w:rsid w:val="003E7B1C"/>
    <w:rsid w:val="003E7F01"/>
    <w:rsid w:val="003F1320"/>
    <w:rsid w:val="00403861"/>
    <w:rsid w:val="00405D9F"/>
    <w:rsid w:val="004145F6"/>
    <w:rsid w:val="00421382"/>
    <w:rsid w:val="00427165"/>
    <w:rsid w:val="004326CA"/>
    <w:rsid w:val="00435016"/>
    <w:rsid w:val="0044243A"/>
    <w:rsid w:val="0044504B"/>
    <w:rsid w:val="00467F53"/>
    <w:rsid w:val="004700BF"/>
    <w:rsid w:val="00483120"/>
    <w:rsid w:val="004A2A74"/>
    <w:rsid w:val="004A719C"/>
    <w:rsid w:val="004A75D3"/>
    <w:rsid w:val="004B2ECD"/>
    <w:rsid w:val="004B70D5"/>
    <w:rsid w:val="004C53C2"/>
    <w:rsid w:val="004C55A1"/>
    <w:rsid w:val="004C59E1"/>
    <w:rsid w:val="004D0A01"/>
    <w:rsid w:val="004D6531"/>
    <w:rsid w:val="004D6BFD"/>
    <w:rsid w:val="004E2522"/>
    <w:rsid w:val="004E2995"/>
    <w:rsid w:val="004E2E9B"/>
    <w:rsid w:val="004E6072"/>
    <w:rsid w:val="004E6A41"/>
    <w:rsid w:val="004E768B"/>
    <w:rsid w:val="004F1495"/>
    <w:rsid w:val="004F7FC5"/>
    <w:rsid w:val="00503762"/>
    <w:rsid w:val="00503957"/>
    <w:rsid w:val="00503E18"/>
    <w:rsid w:val="0050405E"/>
    <w:rsid w:val="005041A8"/>
    <w:rsid w:val="00506FD4"/>
    <w:rsid w:val="005112CA"/>
    <w:rsid w:val="00512503"/>
    <w:rsid w:val="00512794"/>
    <w:rsid w:val="00513993"/>
    <w:rsid w:val="00520E15"/>
    <w:rsid w:val="00535932"/>
    <w:rsid w:val="00545C25"/>
    <w:rsid w:val="0055534A"/>
    <w:rsid w:val="005561A8"/>
    <w:rsid w:val="00570188"/>
    <w:rsid w:val="00574E0A"/>
    <w:rsid w:val="00575C13"/>
    <w:rsid w:val="005822E6"/>
    <w:rsid w:val="00590B77"/>
    <w:rsid w:val="0059473E"/>
    <w:rsid w:val="00597476"/>
    <w:rsid w:val="00597963"/>
    <w:rsid w:val="005A0DF0"/>
    <w:rsid w:val="005A35FB"/>
    <w:rsid w:val="005A45F4"/>
    <w:rsid w:val="005A6777"/>
    <w:rsid w:val="005A698F"/>
    <w:rsid w:val="005A7C1A"/>
    <w:rsid w:val="005B29EB"/>
    <w:rsid w:val="005B61E7"/>
    <w:rsid w:val="005D10F9"/>
    <w:rsid w:val="005E01EA"/>
    <w:rsid w:val="005E0643"/>
    <w:rsid w:val="005E1D73"/>
    <w:rsid w:val="005E6B98"/>
    <w:rsid w:val="005E70AE"/>
    <w:rsid w:val="0060320E"/>
    <w:rsid w:val="0061653E"/>
    <w:rsid w:val="00621E51"/>
    <w:rsid w:val="00622326"/>
    <w:rsid w:val="006379A3"/>
    <w:rsid w:val="006433C9"/>
    <w:rsid w:val="0065073A"/>
    <w:rsid w:val="00674484"/>
    <w:rsid w:val="006747CD"/>
    <w:rsid w:val="006764A2"/>
    <w:rsid w:val="00676CAD"/>
    <w:rsid w:val="00681E65"/>
    <w:rsid w:val="00687E3E"/>
    <w:rsid w:val="0069345B"/>
    <w:rsid w:val="006940A7"/>
    <w:rsid w:val="006956C9"/>
    <w:rsid w:val="006A38D5"/>
    <w:rsid w:val="006A5E76"/>
    <w:rsid w:val="006B4344"/>
    <w:rsid w:val="006B55C8"/>
    <w:rsid w:val="006C486F"/>
    <w:rsid w:val="006C4B11"/>
    <w:rsid w:val="006C6E91"/>
    <w:rsid w:val="006E245F"/>
    <w:rsid w:val="006E26DB"/>
    <w:rsid w:val="006E4921"/>
    <w:rsid w:val="006F4F6B"/>
    <w:rsid w:val="007002EB"/>
    <w:rsid w:val="00710B29"/>
    <w:rsid w:val="00711CB1"/>
    <w:rsid w:val="0072285A"/>
    <w:rsid w:val="00723741"/>
    <w:rsid w:val="0073178F"/>
    <w:rsid w:val="007322C7"/>
    <w:rsid w:val="007324E8"/>
    <w:rsid w:val="007420A8"/>
    <w:rsid w:val="007517A4"/>
    <w:rsid w:val="0075187A"/>
    <w:rsid w:val="00755009"/>
    <w:rsid w:val="007620E2"/>
    <w:rsid w:val="00764FDF"/>
    <w:rsid w:val="007751DC"/>
    <w:rsid w:val="00776788"/>
    <w:rsid w:val="00782602"/>
    <w:rsid w:val="007A4DC5"/>
    <w:rsid w:val="007B1034"/>
    <w:rsid w:val="007B684E"/>
    <w:rsid w:val="007B7E69"/>
    <w:rsid w:val="007C11AB"/>
    <w:rsid w:val="007C2951"/>
    <w:rsid w:val="007C2BC3"/>
    <w:rsid w:val="007C43EC"/>
    <w:rsid w:val="007C7E1A"/>
    <w:rsid w:val="007C7FD8"/>
    <w:rsid w:val="007E0489"/>
    <w:rsid w:val="007E3F45"/>
    <w:rsid w:val="007F17F6"/>
    <w:rsid w:val="007F3412"/>
    <w:rsid w:val="007F4106"/>
    <w:rsid w:val="007F4788"/>
    <w:rsid w:val="007F66C0"/>
    <w:rsid w:val="007F7E77"/>
    <w:rsid w:val="0080230D"/>
    <w:rsid w:val="00806D57"/>
    <w:rsid w:val="00810477"/>
    <w:rsid w:val="008114E7"/>
    <w:rsid w:val="00813952"/>
    <w:rsid w:val="0081459C"/>
    <w:rsid w:val="008249FA"/>
    <w:rsid w:val="00826CC9"/>
    <w:rsid w:val="00831A64"/>
    <w:rsid w:val="00833590"/>
    <w:rsid w:val="00842FA8"/>
    <w:rsid w:val="00844320"/>
    <w:rsid w:val="00846F37"/>
    <w:rsid w:val="00855D87"/>
    <w:rsid w:val="00860FBF"/>
    <w:rsid w:val="00864B7A"/>
    <w:rsid w:val="008654F9"/>
    <w:rsid w:val="00881E66"/>
    <w:rsid w:val="008A07A2"/>
    <w:rsid w:val="008A1C94"/>
    <w:rsid w:val="008A31D5"/>
    <w:rsid w:val="008A3BBD"/>
    <w:rsid w:val="008B2189"/>
    <w:rsid w:val="008B2D62"/>
    <w:rsid w:val="008B4434"/>
    <w:rsid w:val="008B7C2D"/>
    <w:rsid w:val="008C132E"/>
    <w:rsid w:val="008C5C97"/>
    <w:rsid w:val="008D3655"/>
    <w:rsid w:val="008D504F"/>
    <w:rsid w:val="008D566A"/>
    <w:rsid w:val="008E0B34"/>
    <w:rsid w:val="008F484F"/>
    <w:rsid w:val="008F7A40"/>
    <w:rsid w:val="0091365F"/>
    <w:rsid w:val="00917CEA"/>
    <w:rsid w:val="00920916"/>
    <w:rsid w:val="00926473"/>
    <w:rsid w:val="00932A48"/>
    <w:rsid w:val="00936493"/>
    <w:rsid w:val="009368D1"/>
    <w:rsid w:val="00937B22"/>
    <w:rsid w:val="00942562"/>
    <w:rsid w:val="00956486"/>
    <w:rsid w:val="0095767D"/>
    <w:rsid w:val="00957C2C"/>
    <w:rsid w:val="00960B85"/>
    <w:rsid w:val="00970684"/>
    <w:rsid w:val="00973406"/>
    <w:rsid w:val="0098061F"/>
    <w:rsid w:val="00981BB7"/>
    <w:rsid w:val="00981E0B"/>
    <w:rsid w:val="00984AB7"/>
    <w:rsid w:val="009860D3"/>
    <w:rsid w:val="00994FA6"/>
    <w:rsid w:val="009A32DF"/>
    <w:rsid w:val="009A545B"/>
    <w:rsid w:val="009A7E3D"/>
    <w:rsid w:val="009B330D"/>
    <w:rsid w:val="009B41F5"/>
    <w:rsid w:val="009C68DD"/>
    <w:rsid w:val="009D0BD7"/>
    <w:rsid w:val="009E2525"/>
    <w:rsid w:val="009E53D9"/>
    <w:rsid w:val="009F4971"/>
    <w:rsid w:val="009F593B"/>
    <w:rsid w:val="009F7044"/>
    <w:rsid w:val="00A161AC"/>
    <w:rsid w:val="00A202B3"/>
    <w:rsid w:val="00A313A1"/>
    <w:rsid w:val="00A407EF"/>
    <w:rsid w:val="00A40DA4"/>
    <w:rsid w:val="00A42C9A"/>
    <w:rsid w:val="00A551A0"/>
    <w:rsid w:val="00A6591D"/>
    <w:rsid w:val="00A65E22"/>
    <w:rsid w:val="00A777B8"/>
    <w:rsid w:val="00A854A8"/>
    <w:rsid w:val="00A934F9"/>
    <w:rsid w:val="00A937DD"/>
    <w:rsid w:val="00A94A30"/>
    <w:rsid w:val="00AA7D80"/>
    <w:rsid w:val="00AB6D33"/>
    <w:rsid w:val="00AC54EA"/>
    <w:rsid w:val="00AD157D"/>
    <w:rsid w:val="00AE2B91"/>
    <w:rsid w:val="00AE7084"/>
    <w:rsid w:val="00AE70BD"/>
    <w:rsid w:val="00AF0D42"/>
    <w:rsid w:val="00AF1272"/>
    <w:rsid w:val="00AF34ED"/>
    <w:rsid w:val="00AF369E"/>
    <w:rsid w:val="00AF6326"/>
    <w:rsid w:val="00AF7B16"/>
    <w:rsid w:val="00B030F7"/>
    <w:rsid w:val="00B154BA"/>
    <w:rsid w:val="00B20DAA"/>
    <w:rsid w:val="00B22182"/>
    <w:rsid w:val="00B22E7C"/>
    <w:rsid w:val="00B23C35"/>
    <w:rsid w:val="00B23FB1"/>
    <w:rsid w:val="00B243E8"/>
    <w:rsid w:val="00B41AAB"/>
    <w:rsid w:val="00B424FB"/>
    <w:rsid w:val="00B468B8"/>
    <w:rsid w:val="00B501C7"/>
    <w:rsid w:val="00B60F34"/>
    <w:rsid w:val="00B64A0D"/>
    <w:rsid w:val="00B70E08"/>
    <w:rsid w:val="00B70FA3"/>
    <w:rsid w:val="00B82A27"/>
    <w:rsid w:val="00B847F6"/>
    <w:rsid w:val="00B85AED"/>
    <w:rsid w:val="00B902BC"/>
    <w:rsid w:val="00BB0271"/>
    <w:rsid w:val="00BB044D"/>
    <w:rsid w:val="00BB0B06"/>
    <w:rsid w:val="00BB12CF"/>
    <w:rsid w:val="00BB2F48"/>
    <w:rsid w:val="00BC293D"/>
    <w:rsid w:val="00BC2D4B"/>
    <w:rsid w:val="00BC5B78"/>
    <w:rsid w:val="00BC6D51"/>
    <w:rsid w:val="00BD2F57"/>
    <w:rsid w:val="00BD48AE"/>
    <w:rsid w:val="00BE603F"/>
    <w:rsid w:val="00BF53A1"/>
    <w:rsid w:val="00C004D2"/>
    <w:rsid w:val="00C0369A"/>
    <w:rsid w:val="00C1036E"/>
    <w:rsid w:val="00C20B1E"/>
    <w:rsid w:val="00C23B56"/>
    <w:rsid w:val="00C40853"/>
    <w:rsid w:val="00C41089"/>
    <w:rsid w:val="00C50A6B"/>
    <w:rsid w:val="00C5197E"/>
    <w:rsid w:val="00C51D1E"/>
    <w:rsid w:val="00C6007C"/>
    <w:rsid w:val="00C604D1"/>
    <w:rsid w:val="00C6464C"/>
    <w:rsid w:val="00C67FAE"/>
    <w:rsid w:val="00C8234E"/>
    <w:rsid w:val="00C9176A"/>
    <w:rsid w:val="00C94717"/>
    <w:rsid w:val="00C97E64"/>
    <w:rsid w:val="00CA085B"/>
    <w:rsid w:val="00CA0A04"/>
    <w:rsid w:val="00CA2ACB"/>
    <w:rsid w:val="00CA5D56"/>
    <w:rsid w:val="00CA67C3"/>
    <w:rsid w:val="00CB2699"/>
    <w:rsid w:val="00CB314D"/>
    <w:rsid w:val="00CB5493"/>
    <w:rsid w:val="00CB65B9"/>
    <w:rsid w:val="00CC509D"/>
    <w:rsid w:val="00CC6482"/>
    <w:rsid w:val="00CC7204"/>
    <w:rsid w:val="00CD3729"/>
    <w:rsid w:val="00CD59B5"/>
    <w:rsid w:val="00CD79CD"/>
    <w:rsid w:val="00CE2013"/>
    <w:rsid w:val="00CF240F"/>
    <w:rsid w:val="00CF2FB5"/>
    <w:rsid w:val="00CF4D28"/>
    <w:rsid w:val="00CF5D45"/>
    <w:rsid w:val="00CF6C14"/>
    <w:rsid w:val="00D01C4C"/>
    <w:rsid w:val="00D039B5"/>
    <w:rsid w:val="00D04823"/>
    <w:rsid w:val="00D20092"/>
    <w:rsid w:val="00D20A08"/>
    <w:rsid w:val="00D224D0"/>
    <w:rsid w:val="00D3218C"/>
    <w:rsid w:val="00D34EFC"/>
    <w:rsid w:val="00D46443"/>
    <w:rsid w:val="00D560BC"/>
    <w:rsid w:val="00D60E82"/>
    <w:rsid w:val="00D67811"/>
    <w:rsid w:val="00D7462D"/>
    <w:rsid w:val="00D75701"/>
    <w:rsid w:val="00D9109D"/>
    <w:rsid w:val="00D93505"/>
    <w:rsid w:val="00DB1C0C"/>
    <w:rsid w:val="00DB75A6"/>
    <w:rsid w:val="00DC5277"/>
    <w:rsid w:val="00DD15BF"/>
    <w:rsid w:val="00DE13D5"/>
    <w:rsid w:val="00DE1B3C"/>
    <w:rsid w:val="00DE50D3"/>
    <w:rsid w:val="00DE7059"/>
    <w:rsid w:val="00DE72CA"/>
    <w:rsid w:val="00DE7FB8"/>
    <w:rsid w:val="00DF0B6A"/>
    <w:rsid w:val="00DF35BB"/>
    <w:rsid w:val="00DF67ED"/>
    <w:rsid w:val="00E017C2"/>
    <w:rsid w:val="00E050F4"/>
    <w:rsid w:val="00E05517"/>
    <w:rsid w:val="00E214CF"/>
    <w:rsid w:val="00E271E8"/>
    <w:rsid w:val="00E30809"/>
    <w:rsid w:val="00E31EF7"/>
    <w:rsid w:val="00E32CDE"/>
    <w:rsid w:val="00E400B5"/>
    <w:rsid w:val="00E40431"/>
    <w:rsid w:val="00E445E5"/>
    <w:rsid w:val="00E553DB"/>
    <w:rsid w:val="00E56DAD"/>
    <w:rsid w:val="00E606D0"/>
    <w:rsid w:val="00E64AEC"/>
    <w:rsid w:val="00E70A0B"/>
    <w:rsid w:val="00E7207B"/>
    <w:rsid w:val="00E8168B"/>
    <w:rsid w:val="00E92326"/>
    <w:rsid w:val="00E9324C"/>
    <w:rsid w:val="00EA2C8C"/>
    <w:rsid w:val="00EB372F"/>
    <w:rsid w:val="00EB4A00"/>
    <w:rsid w:val="00EB61BD"/>
    <w:rsid w:val="00EB6391"/>
    <w:rsid w:val="00EC4E8F"/>
    <w:rsid w:val="00EC6341"/>
    <w:rsid w:val="00ED17E0"/>
    <w:rsid w:val="00EE296E"/>
    <w:rsid w:val="00EE32AF"/>
    <w:rsid w:val="00EF3962"/>
    <w:rsid w:val="00EF7F2F"/>
    <w:rsid w:val="00F023B0"/>
    <w:rsid w:val="00F025FF"/>
    <w:rsid w:val="00F125FD"/>
    <w:rsid w:val="00F15C89"/>
    <w:rsid w:val="00F1614D"/>
    <w:rsid w:val="00F16B69"/>
    <w:rsid w:val="00F16D73"/>
    <w:rsid w:val="00F17F64"/>
    <w:rsid w:val="00F219D7"/>
    <w:rsid w:val="00F24B6E"/>
    <w:rsid w:val="00F32C90"/>
    <w:rsid w:val="00F36BB6"/>
    <w:rsid w:val="00F4201A"/>
    <w:rsid w:val="00F43BE4"/>
    <w:rsid w:val="00F47F00"/>
    <w:rsid w:val="00F54585"/>
    <w:rsid w:val="00F56B01"/>
    <w:rsid w:val="00F63B35"/>
    <w:rsid w:val="00F90889"/>
    <w:rsid w:val="00FA4C9D"/>
    <w:rsid w:val="00FB1763"/>
    <w:rsid w:val="00FB2A84"/>
    <w:rsid w:val="00FB4F57"/>
    <w:rsid w:val="00FC4A4D"/>
    <w:rsid w:val="00FD1245"/>
    <w:rsid w:val="00FD1824"/>
    <w:rsid w:val="00FD58B8"/>
    <w:rsid w:val="00FE0A1C"/>
    <w:rsid w:val="00FF1082"/>
    <w:rsid w:val="00FF2AE1"/>
    <w:rsid w:val="00FF3FEE"/>
    <w:rsid w:val="00FF4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3A9F56"/>
  <w15:docId w15:val="{BDBAF982-FD22-4068-9646-3FBBB234D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725D3"/>
    <w:rPr>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D7462D"/>
    <w:pPr>
      <w:tabs>
        <w:tab w:val="center" w:pos="4819"/>
        <w:tab w:val="right" w:pos="9638"/>
      </w:tabs>
    </w:pPr>
  </w:style>
  <w:style w:type="paragraph" w:styleId="Pidipagina">
    <w:name w:val="footer"/>
    <w:basedOn w:val="Normale"/>
    <w:link w:val="PidipaginaCarattere"/>
    <w:uiPriority w:val="99"/>
    <w:rsid w:val="00D7462D"/>
    <w:pPr>
      <w:tabs>
        <w:tab w:val="center" w:pos="4819"/>
        <w:tab w:val="right" w:pos="9638"/>
      </w:tabs>
    </w:pPr>
    <w:rPr>
      <w:lang w:val="x-none" w:eastAsia="x-none"/>
    </w:rPr>
  </w:style>
  <w:style w:type="paragraph" w:styleId="NormaleWeb">
    <w:name w:val="Normal (Web)"/>
    <w:basedOn w:val="Normale"/>
    <w:rsid w:val="007F4809"/>
    <w:pPr>
      <w:spacing w:before="100" w:beforeAutospacing="1" w:after="100" w:afterAutospacing="1"/>
    </w:pPr>
  </w:style>
  <w:style w:type="character" w:styleId="Enfasigrassetto">
    <w:name w:val="Strong"/>
    <w:qFormat/>
    <w:rsid w:val="007F4809"/>
    <w:rPr>
      <w:b/>
      <w:bCs/>
    </w:rPr>
  </w:style>
  <w:style w:type="character" w:customStyle="1" w:styleId="PidipaginaCarattere">
    <w:name w:val="Piè di pagina Carattere"/>
    <w:link w:val="Pidipagina"/>
    <w:uiPriority w:val="99"/>
    <w:rsid w:val="00AF0D42"/>
    <w:rPr>
      <w:sz w:val="24"/>
      <w:szCs w:val="24"/>
    </w:rPr>
  </w:style>
  <w:style w:type="paragraph" w:styleId="Testofumetto">
    <w:name w:val="Balloon Text"/>
    <w:basedOn w:val="Normale"/>
    <w:link w:val="TestofumettoCarattere"/>
    <w:rsid w:val="008F7A40"/>
    <w:rPr>
      <w:rFonts w:ascii="Tahoma" w:hAnsi="Tahoma"/>
      <w:sz w:val="16"/>
      <w:szCs w:val="16"/>
      <w:lang w:val="x-none" w:eastAsia="x-none"/>
    </w:rPr>
  </w:style>
  <w:style w:type="character" w:customStyle="1" w:styleId="TestofumettoCarattere">
    <w:name w:val="Testo fumetto Carattere"/>
    <w:link w:val="Testofumetto"/>
    <w:rsid w:val="008F7A40"/>
    <w:rPr>
      <w:rFonts w:ascii="Tahoma" w:hAnsi="Tahoma" w:cs="Tahoma"/>
      <w:sz w:val="16"/>
      <w:szCs w:val="16"/>
    </w:rPr>
  </w:style>
  <w:style w:type="character" w:styleId="Enfasicorsivo">
    <w:name w:val="Emphasis"/>
    <w:qFormat/>
    <w:rsid w:val="000337C4"/>
    <w:rPr>
      <w:i/>
      <w:iCs/>
    </w:rPr>
  </w:style>
  <w:style w:type="character" w:styleId="Collegamentoipertestuale">
    <w:name w:val="Hyperlink"/>
    <w:uiPriority w:val="99"/>
    <w:unhideWhenUsed/>
    <w:rsid w:val="00E400B5"/>
    <w:rPr>
      <w:color w:val="0000FF"/>
      <w:u w:val="single"/>
    </w:rPr>
  </w:style>
  <w:style w:type="character" w:styleId="Rimandocommento">
    <w:name w:val="annotation reference"/>
    <w:rsid w:val="00352C4E"/>
    <w:rPr>
      <w:sz w:val="16"/>
      <w:szCs w:val="16"/>
    </w:rPr>
  </w:style>
  <w:style w:type="paragraph" w:styleId="Testocommento">
    <w:name w:val="annotation text"/>
    <w:basedOn w:val="Normale"/>
    <w:link w:val="TestocommentoCarattere"/>
    <w:rsid w:val="00352C4E"/>
    <w:rPr>
      <w:sz w:val="20"/>
      <w:szCs w:val="20"/>
    </w:rPr>
  </w:style>
  <w:style w:type="character" w:customStyle="1" w:styleId="TestocommentoCarattere">
    <w:name w:val="Testo commento Carattere"/>
    <w:basedOn w:val="Carpredefinitoparagrafo"/>
    <w:link w:val="Testocommento"/>
    <w:rsid w:val="00352C4E"/>
  </w:style>
  <w:style w:type="paragraph" w:styleId="Soggettocommento">
    <w:name w:val="annotation subject"/>
    <w:basedOn w:val="Testocommento"/>
    <w:next w:val="Testocommento"/>
    <w:link w:val="SoggettocommentoCarattere"/>
    <w:rsid w:val="00352C4E"/>
    <w:rPr>
      <w:b/>
      <w:bCs/>
      <w:lang w:val="x-none" w:eastAsia="x-none"/>
    </w:rPr>
  </w:style>
  <w:style w:type="character" w:customStyle="1" w:styleId="SoggettocommentoCarattere">
    <w:name w:val="Soggetto commento Carattere"/>
    <w:link w:val="Soggettocommento"/>
    <w:rsid w:val="00352C4E"/>
    <w:rPr>
      <w:b/>
      <w:bCs/>
    </w:rPr>
  </w:style>
  <w:style w:type="paragraph" w:styleId="PreformattatoHTML">
    <w:name w:val="HTML Preformatted"/>
    <w:basedOn w:val="Normale"/>
    <w:link w:val="PreformattatoHTMLCarattere"/>
    <w:uiPriority w:val="99"/>
    <w:unhideWhenUsed/>
    <w:rsid w:val="00C41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PreformattatoHTMLCarattere">
    <w:name w:val="Preformattato HTML Carattere"/>
    <w:link w:val="PreformattatoHTML"/>
    <w:uiPriority w:val="99"/>
    <w:rsid w:val="00C41089"/>
    <w:rPr>
      <w:rFonts w:ascii="Courier New" w:hAnsi="Courier New" w:cs="Courier New"/>
    </w:rPr>
  </w:style>
  <w:style w:type="paragraph" w:styleId="Testonormale">
    <w:name w:val="Plain Text"/>
    <w:basedOn w:val="Normale"/>
    <w:link w:val="TestonormaleCarattere"/>
    <w:uiPriority w:val="99"/>
    <w:unhideWhenUsed/>
    <w:rsid w:val="006956C9"/>
    <w:rPr>
      <w:rFonts w:ascii="Calibri" w:eastAsia="Calibri" w:hAnsi="Calibri"/>
      <w:sz w:val="22"/>
      <w:szCs w:val="21"/>
      <w:lang w:eastAsia="en-US"/>
    </w:rPr>
  </w:style>
  <w:style w:type="character" w:customStyle="1" w:styleId="TestonormaleCarattere">
    <w:name w:val="Testo normale Carattere"/>
    <w:link w:val="Testonormale"/>
    <w:uiPriority w:val="99"/>
    <w:rsid w:val="006956C9"/>
    <w:rPr>
      <w:rFonts w:ascii="Calibri" w:eastAsia="Calibri" w:hAnsi="Calibri" w:cs="Times New Roman"/>
      <w:sz w:val="22"/>
      <w:szCs w:val="21"/>
      <w:lang w:eastAsia="en-US"/>
    </w:rPr>
  </w:style>
  <w:style w:type="character" w:customStyle="1" w:styleId="Menzionenonrisolta1">
    <w:name w:val="Menzione non risolta1"/>
    <w:basedOn w:val="Carpredefinitoparagrafo"/>
    <w:uiPriority w:val="99"/>
    <w:semiHidden/>
    <w:unhideWhenUsed/>
    <w:rsid w:val="00DF6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42860">
      <w:bodyDiv w:val="1"/>
      <w:marLeft w:val="0"/>
      <w:marRight w:val="0"/>
      <w:marTop w:val="0"/>
      <w:marBottom w:val="0"/>
      <w:divBdr>
        <w:top w:val="none" w:sz="0" w:space="0" w:color="auto"/>
        <w:left w:val="none" w:sz="0" w:space="0" w:color="auto"/>
        <w:bottom w:val="none" w:sz="0" w:space="0" w:color="auto"/>
        <w:right w:val="none" w:sz="0" w:space="0" w:color="auto"/>
      </w:divBdr>
    </w:div>
    <w:div w:id="145977422">
      <w:bodyDiv w:val="1"/>
      <w:marLeft w:val="0"/>
      <w:marRight w:val="0"/>
      <w:marTop w:val="0"/>
      <w:marBottom w:val="0"/>
      <w:divBdr>
        <w:top w:val="none" w:sz="0" w:space="0" w:color="auto"/>
        <w:left w:val="none" w:sz="0" w:space="0" w:color="auto"/>
        <w:bottom w:val="none" w:sz="0" w:space="0" w:color="auto"/>
        <w:right w:val="none" w:sz="0" w:space="0" w:color="auto"/>
      </w:divBdr>
    </w:div>
    <w:div w:id="174618861">
      <w:bodyDiv w:val="1"/>
      <w:marLeft w:val="0"/>
      <w:marRight w:val="0"/>
      <w:marTop w:val="0"/>
      <w:marBottom w:val="0"/>
      <w:divBdr>
        <w:top w:val="none" w:sz="0" w:space="0" w:color="auto"/>
        <w:left w:val="none" w:sz="0" w:space="0" w:color="auto"/>
        <w:bottom w:val="none" w:sz="0" w:space="0" w:color="auto"/>
        <w:right w:val="none" w:sz="0" w:space="0" w:color="auto"/>
      </w:divBdr>
    </w:div>
    <w:div w:id="281886265">
      <w:bodyDiv w:val="1"/>
      <w:marLeft w:val="0"/>
      <w:marRight w:val="0"/>
      <w:marTop w:val="0"/>
      <w:marBottom w:val="0"/>
      <w:divBdr>
        <w:top w:val="none" w:sz="0" w:space="0" w:color="auto"/>
        <w:left w:val="none" w:sz="0" w:space="0" w:color="auto"/>
        <w:bottom w:val="none" w:sz="0" w:space="0" w:color="auto"/>
        <w:right w:val="none" w:sz="0" w:space="0" w:color="auto"/>
      </w:divBdr>
    </w:div>
    <w:div w:id="422266162">
      <w:bodyDiv w:val="1"/>
      <w:marLeft w:val="0"/>
      <w:marRight w:val="0"/>
      <w:marTop w:val="0"/>
      <w:marBottom w:val="0"/>
      <w:divBdr>
        <w:top w:val="none" w:sz="0" w:space="0" w:color="auto"/>
        <w:left w:val="none" w:sz="0" w:space="0" w:color="auto"/>
        <w:bottom w:val="none" w:sz="0" w:space="0" w:color="auto"/>
        <w:right w:val="none" w:sz="0" w:space="0" w:color="auto"/>
      </w:divBdr>
    </w:div>
    <w:div w:id="433718057">
      <w:bodyDiv w:val="1"/>
      <w:marLeft w:val="0"/>
      <w:marRight w:val="0"/>
      <w:marTop w:val="0"/>
      <w:marBottom w:val="0"/>
      <w:divBdr>
        <w:top w:val="none" w:sz="0" w:space="0" w:color="auto"/>
        <w:left w:val="none" w:sz="0" w:space="0" w:color="auto"/>
        <w:bottom w:val="none" w:sz="0" w:space="0" w:color="auto"/>
        <w:right w:val="none" w:sz="0" w:space="0" w:color="auto"/>
      </w:divBdr>
    </w:div>
    <w:div w:id="434861832">
      <w:bodyDiv w:val="1"/>
      <w:marLeft w:val="0"/>
      <w:marRight w:val="0"/>
      <w:marTop w:val="0"/>
      <w:marBottom w:val="0"/>
      <w:divBdr>
        <w:top w:val="none" w:sz="0" w:space="0" w:color="auto"/>
        <w:left w:val="none" w:sz="0" w:space="0" w:color="auto"/>
        <w:bottom w:val="none" w:sz="0" w:space="0" w:color="auto"/>
        <w:right w:val="none" w:sz="0" w:space="0" w:color="auto"/>
      </w:divBdr>
    </w:div>
    <w:div w:id="537470553">
      <w:bodyDiv w:val="1"/>
      <w:marLeft w:val="0"/>
      <w:marRight w:val="0"/>
      <w:marTop w:val="0"/>
      <w:marBottom w:val="0"/>
      <w:divBdr>
        <w:top w:val="none" w:sz="0" w:space="0" w:color="auto"/>
        <w:left w:val="none" w:sz="0" w:space="0" w:color="auto"/>
        <w:bottom w:val="none" w:sz="0" w:space="0" w:color="auto"/>
        <w:right w:val="none" w:sz="0" w:space="0" w:color="auto"/>
      </w:divBdr>
    </w:div>
    <w:div w:id="582418514">
      <w:bodyDiv w:val="1"/>
      <w:marLeft w:val="0"/>
      <w:marRight w:val="0"/>
      <w:marTop w:val="0"/>
      <w:marBottom w:val="0"/>
      <w:divBdr>
        <w:top w:val="none" w:sz="0" w:space="0" w:color="auto"/>
        <w:left w:val="none" w:sz="0" w:space="0" w:color="auto"/>
        <w:bottom w:val="none" w:sz="0" w:space="0" w:color="auto"/>
        <w:right w:val="none" w:sz="0" w:space="0" w:color="auto"/>
      </w:divBdr>
    </w:div>
    <w:div w:id="591008417">
      <w:bodyDiv w:val="1"/>
      <w:marLeft w:val="0"/>
      <w:marRight w:val="0"/>
      <w:marTop w:val="0"/>
      <w:marBottom w:val="0"/>
      <w:divBdr>
        <w:top w:val="none" w:sz="0" w:space="0" w:color="auto"/>
        <w:left w:val="none" w:sz="0" w:space="0" w:color="auto"/>
        <w:bottom w:val="none" w:sz="0" w:space="0" w:color="auto"/>
        <w:right w:val="none" w:sz="0" w:space="0" w:color="auto"/>
      </w:divBdr>
    </w:div>
    <w:div w:id="594167483">
      <w:bodyDiv w:val="1"/>
      <w:marLeft w:val="0"/>
      <w:marRight w:val="0"/>
      <w:marTop w:val="0"/>
      <w:marBottom w:val="0"/>
      <w:divBdr>
        <w:top w:val="none" w:sz="0" w:space="0" w:color="auto"/>
        <w:left w:val="none" w:sz="0" w:space="0" w:color="auto"/>
        <w:bottom w:val="none" w:sz="0" w:space="0" w:color="auto"/>
        <w:right w:val="none" w:sz="0" w:space="0" w:color="auto"/>
      </w:divBdr>
      <w:divsChild>
        <w:div w:id="1132603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912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4794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258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42368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839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708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2635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01462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519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8374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353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03611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4251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825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231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25341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0717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43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832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73444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457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30728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5456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38999480">
      <w:bodyDiv w:val="1"/>
      <w:marLeft w:val="0"/>
      <w:marRight w:val="0"/>
      <w:marTop w:val="0"/>
      <w:marBottom w:val="0"/>
      <w:divBdr>
        <w:top w:val="none" w:sz="0" w:space="0" w:color="auto"/>
        <w:left w:val="none" w:sz="0" w:space="0" w:color="auto"/>
        <w:bottom w:val="none" w:sz="0" w:space="0" w:color="auto"/>
        <w:right w:val="none" w:sz="0" w:space="0" w:color="auto"/>
      </w:divBdr>
    </w:div>
    <w:div w:id="768544069">
      <w:bodyDiv w:val="1"/>
      <w:marLeft w:val="0"/>
      <w:marRight w:val="0"/>
      <w:marTop w:val="0"/>
      <w:marBottom w:val="0"/>
      <w:divBdr>
        <w:top w:val="none" w:sz="0" w:space="0" w:color="auto"/>
        <w:left w:val="none" w:sz="0" w:space="0" w:color="auto"/>
        <w:bottom w:val="none" w:sz="0" w:space="0" w:color="auto"/>
        <w:right w:val="none" w:sz="0" w:space="0" w:color="auto"/>
      </w:divBdr>
    </w:div>
    <w:div w:id="802311815">
      <w:bodyDiv w:val="1"/>
      <w:marLeft w:val="0"/>
      <w:marRight w:val="0"/>
      <w:marTop w:val="0"/>
      <w:marBottom w:val="0"/>
      <w:divBdr>
        <w:top w:val="none" w:sz="0" w:space="0" w:color="auto"/>
        <w:left w:val="none" w:sz="0" w:space="0" w:color="auto"/>
        <w:bottom w:val="none" w:sz="0" w:space="0" w:color="auto"/>
        <w:right w:val="none" w:sz="0" w:space="0" w:color="auto"/>
      </w:divBdr>
    </w:div>
    <w:div w:id="993336096">
      <w:bodyDiv w:val="1"/>
      <w:marLeft w:val="0"/>
      <w:marRight w:val="0"/>
      <w:marTop w:val="0"/>
      <w:marBottom w:val="0"/>
      <w:divBdr>
        <w:top w:val="none" w:sz="0" w:space="0" w:color="auto"/>
        <w:left w:val="none" w:sz="0" w:space="0" w:color="auto"/>
        <w:bottom w:val="none" w:sz="0" w:space="0" w:color="auto"/>
        <w:right w:val="none" w:sz="0" w:space="0" w:color="auto"/>
      </w:divBdr>
    </w:div>
    <w:div w:id="1138691942">
      <w:bodyDiv w:val="1"/>
      <w:marLeft w:val="0"/>
      <w:marRight w:val="0"/>
      <w:marTop w:val="0"/>
      <w:marBottom w:val="0"/>
      <w:divBdr>
        <w:top w:val="none" w:sz="0" w:space="0" w:color="auto"/>
        <w:left w:val="none" w:sz="0" w:space="0" w:color="auto"/>
        <w:bottom w:val="none" w:sz="0" w:space="0" w:color="auto"/>
        <w:right w:val="none" w:sz="0" w:space="0" w:color="auto"/>
      </w:divBdr>
    </w:div>
    <w:div w:id="1288122698">
      <w:bodyDiv w:val="1"/>
      <w:marLeft w:val="0"/>
      <w:marRight w:val="0"/>
      <w:marTop w:val="0"/>
      <w:marBottom w:val="0"/>
      <w:divBdr>
        <w:top w:val="none" w:sz="0" w:space="0" w:color="auto"/>
        <w:left w:val="none" w:sz="0" w:space="0" w:color="auto"/>
        <w:bottom w:val="none" w:sz="0" w:space="0" w:color="auto"/>
        <w:right w:val="none" w:sz="0" w:space="0" w:color="auto"/>
      </w:divBdr>
    </w:div>
    <w:div w:id="1350639635">
      <w:bodyDiv w:val="1"/>
      <w:marLeft w:val="0"/>
      <w:marRight w:val="0"/>
      <w:marTop w:val="0"/>
      <w:marBottom w:val="0"/>
      <w:divBdr>
        <w:top w:val="none" w:sz="0" w:space="0" w:color="auto"/>
        <w:left w:val="none" w:sz="0" w:space="0" w:color="auto"/>
        <w:bottom w:val="none" w:sz="0" w:space="0" w:color="auto"/>
        <w:right w:val="none" w:sz="0" w:space="0" w:color="auto"/>
      </w:divBdr>
    </w:div>
    <w:div w:id="1359090277">
      <w:bodyDiv w:val="1"/>
      <w:marLeft w:val="0"/>
      <w:marRight w:val="0"/>
      <w:marTop w:val="0"/>
      <w:marBottom w:val="0"/>
      <w:divBdr>
        <w:top w:val="none" w:sz="0" w:space="0" w:color="auto"/>
        <w:left w:val="none" w:sz="0" w:space="0" w:color="auto"/>
        <w:bottom w:val="none" w:sz="0" w:space="0" w:color="auto"/>
        <w:right w:val="none" w:sz="0" w:space="0" w:color="auto"/>
      </w:divBdr>
    </w:div>
    <w:div w:id="1511719972">
      <w:bodyDiv w:val="1"/>
      <w:marLeft w:val="0"/>
      <w:marRight w:val="0"/>
      <w:marTop w:val="0"/>
      <w:marBottom w:val="0"/>
      <w:divBdr>
        <w:top w:val="none" w:sz="0" w:space="0" w:color="auto"/>
        <w:left w:val="none" w:sz="0" w:space="0" w:color="auto"/>
        <w:bottom w:val="none" w:sz="0" w:space="0" w:color="auto"/>
        <w:right w:val="none" w:sz="0" w:space="0" w:color="auto"/>
      </w:divBdr>
    </w:div>
    <w:div w:id="1976834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ederunacoma.wetransfer.com/downloads/dac638e37ae05bec6841b8c71715347020220112131208/a088eb07fd8d6b89c98a4566009b12eb20220112131208/d82fe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550</Words>
  <Characters>3138</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Comunicato Stampa</vt:lpstr>
    </vt:vector>
  </TitlesOfParts>
  <Company>Hewlett-Packard Company</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subject/>
  <dc:creator>Nome utente</dc:creator>
  <cp:keywords/>
  <cp:lastModifiedBy>Patrizia Menicucci</cp:lastModifiedBy>
  <cp:revision>3</cp:revision>
  <cp:lastPrinted>2022-04-14T12:06:00Z</cp:lastPrinted>
  <dcterms:created xsi:type="dcterms:W3CDTF">2022-04-14T09:48:00Z</dcterms:created>
  <dcterms:modified xsi:type="dcterms:W3CDTF">2022-04-14T13:16:00Z</dcterms:modified>
</cp:coreProperties>
</file>