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AC12E" w14:textId="77777777" w:rsidR="00C00BBF" w:rsidRPr="00B93E2E" w:rsidRDefault="001C6446" w:rsidP="00C00BBF">
      <w:pPr>
        <w:ind w:left="2127"/>
        <w:jc w:val="both"/>
        <w:rPr>
          <w:i/>
          <w:iCs/>
          <w:lang w:val="en-US"/>
        </w:rPr>
      </w:pPr>
      <w:r w:rsidRPr="00B93E2E">
        <w:rPr>
          <w:i/>
          <w:iCs/>
          <w:lang w:val="en-US"/>
        </w:rPr>
        <w:t>Press Release</w:t>
      </w:r>
    </w:p>
    <w:p w14:paraId="3547985A" w14:textId="77777777" w:rsidR="00B93E2E" w:rsidRDefault="00B93E2E" w:rsidP="00B93E2E">
      <w:pPr>
        <w:pStyle w:val="NormaleWeb"/>
        <w:spacing w:before="0" w:beforeAutospacing="0" w:after="0" w:afterAutospacing="0"/>
        <w:ind w:left="2127"/>
        <w:rPr>
          <w:b/>
          <w:bCs/>
          <w:lang w:val="en-US"/>
        </w:rPr>
      </w:pPr>
    </w:p>
    <w:p w14:paraId="16994E18" w14:textId="58905CDE" w:rsidR="00B93E2E" w:rsidRDefault="00B93E2E" w:rsidP="00B93E2E">
      <w:pPr>
        <w:pStyle w:val="NormaleWeb"/>
        <w:spacing w:before="0" w:beforeAutospacing="0" w:after="0" w:afterAutospacing="0"/>
        <w:ind w:left="2127"/>
        <w:jc w:val="both"/>
        <w:rPr>
          <w:b/>
          <w:bCs/>
          <w:lang w:val="en-US"/>
        </w:rPr>
      </w:pPr>
      <w:r w:rsidRPr="00B93E2E">
        <w:rPr>
          <w:b/>
          <w:bCs/>
          <w:lang w:val="en-US"/>
        </w:rPr>
        <w:t>Agricultural machinery: a growing market, but economic uncertainty weighs heavily</w:t>
      </w:r>
    </w:p>
    <w:p w14:paraId="76A43F21" w14:textId="77777777" w:rsidR="00B93E2E" w:rsidRPr="00B93E2E" w:rsidRDefault="00B93E2E" w:rsidP="00B93E2E">
      <w:pPr>
        <w:pStyle w:val="NormaleWeb"/>
        <w:spacing w:before="0" w:beforeAutospacing="0" w:after="0" w:afterAutospacing="0"/>
        <w:ind w:left="2127"/>
        <w:jc w:val="both"/>
        <w:rPr>
          <w:lang w:val="en-US"/>
        </w:rPr>
      </w:pPr>
    </w:p>
    <w:p w14:paraId="7EA2F723" w14:textId="77777777" w:rsidR="00B93E2E" w:rsidRDefault="00B93E2E" w:rsidP="00B93E2E">
      <w:pPr>
        <w:pStyle w:val="NormaleWeb"/>
        <w:spacing w:before="0" w:beforeAutospacing="0" w:after="0" w:afterAutospacing="0"/>
        <w:ind w:left="2127"/>
        <w:jc w:val="both"/>
        <w:rPr>
          <w:b/>
          <w:bCs/>
          <w:i/>
          <w:iCs/>
          <w:lang w:val="en-US"/>
        </w:rPr>
      </w:pPr>
      <w:r w:rsidRPr="00B93E2E">
        <w:rPr>
          <w:b/>
          <w:bCs/>
          <w:i/>
          <w:iCs/>
          <w:lang w:val="en-US"/>
        </w:rPr>
        <w:t>In the first quarter of the year, sales of tractors (+2.7%), combine harvesters (+65%) and telescopic handlers (+46%) rose, whilst sales of trailers fell slightly (-1.5%) and transporters declined (-11.8%). The outlook for the rest of the year is influenced by developments in the Middle East crisis. The role of public incentives. FederUnacoma: it is important to overcome uncertainties and ensure that support schemes are fully operational.</w:t>
      </w:r>
    </w:p>
    <w:p w14:paraId="012676C8" w14:textId="77777777" w:rsidR="00B93E2E" w:rsidRPr="00B93E2E" w:rsidRDefault="00B93E2E" w:rsidP="00B93E2E">
      <w:pPr>
        <w:pStyle w:val="NormaleWeb"/>
        <w:spacing w:before="0" w:beforeAutospacing="0" w:after="0" w:afterAutospacing="0"/>
        <w:ind w:left="2127"/>
        <w:jc w:val="both"/>
        <w:rPr>
          <w:lang w:val="en-US"/>
        </w:rPr>
      </w:pPr>
    </w:p>
    <w:p w14:paraId="6568B52D" w14:textId="2629864B" w:rsidR="00B93E2E" w:rsidRDefault="00B93E2E" w:rsidP="00B93E2E">
      <w:pPr>
        <w:pStyle w:val="NormaleWeb"/>
        <w:spacing w:before="0" w:beforeAutospacing="0" w:after="0" w:afterAutospacing="0"/>
        <w:ind w:left="2127"/>
        <w:jc w:val="both"/>
        <w:rPr>
          <w:lang w:val="en-US"/>
        </w:rPr>
      </w:pPr>
      <w:r w:rsidRPr="00B93E2E">
        <w:rPr>
          <w:lang w:val="en-US"/>
        </w:rPr>
        <w:t xml:space="preserve">The first quarter of the year confirms the upward trend recorded in 2025, but in the coming months the dynamics of the domestic agricultural machinery market could be affected by geopolitical instability and economic uncertainty. Data compiled by the manufacturers’ association FederUnacoma, based on figures provided by the Ministry of Transport regarding new registrations of agricultural machinery, indicate </w:t>
      </w:r>
      <w:r w:rsidR="0090065C">
        <w:rPr>
          <w:lang w:val="en-US"/>
        </w:rPr>
        <w:t xml:space="preserve">a </w:t>
      </w:r>
      <w:r w:rsidRPr="00B93E2E">
        <w:rPr>
          <w:lang w:val="en-US"/>
        </w:rPr>
        <w:t xml:space="preserve">growth of 2.7% for tractors, with over 3,633 units sold (3,537 in the first quarter of 2025), and a 65% increase for combine harvesters, with 33 machines registered (20 in the same period of 2025). Telescopic handlers also performed well, recording a 46% increase with 343 units (235 sold in 2025), whilst trailers remained in line with last year’s figures (1,659 registrations, down 1.5%). A more pronounced decline, albeit relating to a smaller number of vehicles, </w:t>
      </w:r>
      <w:proofErr w:type="spellStart"/>
      <w:r w:rsidRPr="00B93E2E">
        <w:rPr>
          <w:lang w:val="en-US"/>
        </w:rPr>
        <w:t>characterised</w:t>
      </w:r>
      <w:proofErr w:type="spellEnd"/>
      <w:r w:rsidRPr="00B93E2E">
        <w:rPr>
          <w:lang w:val="en-US"/>
        </w:rPr>
        <w:t xml:space="preserve"> the transporter sector (tractors with flatbed trailers), which fell by 11.8% to 157 units, compared with the 178 recorded in the first quarter of 2025.</w:t>
      </w:r>
    </w:p>
    <w:p w14:paraId="420C8009" w14:textId="40C9273C" w:rsidR="00B93E2E" w:rsidRPr="00B93E2E" w:rsidRDefault="00B93E2E" w:rsidP="00B93E2E">
      <w:pPr>
        <w:pStyle w:val="NormaleWeb"/>
        <w:spacing w:before="0" w:beforeAutospacing="0" w:after="0" w:afterAutospacing="0"/>
        <w:ind w:left="2127"/>
        <w:jc w:val="both"/>
        <w:rPr>
          <w:lang w:val="en-US"/>
        </w:rPr>
      </w:pPr>
      <w:r w:rsidRPr="00B93E2E">
        <w:rPr>
          <w:lang w:val="en-US"/>
        </w:rPr>
        <w:t>The first three months therefore confirm the positive market trend recorded in 2025; however, variables linked to the conflict in the Middle East and uncertainties regarding certain incentive measures (the 5.0 credit</w:t>
      </w:r>
      <w:r w:rsidR="0090065C">
        <w:rPr>
          <w:lang w:val="en-US"/>
        </w:rPr>
        <w:t>, for example</w:t>
      </w:r>
      <w:r w:rsidRPr="00B93E2E">
        <w:rPr>
          <w:lang w:val="en-US"/>
        </w:rPr>
        <w:t>) risk negatively affecting companies’ willingness to invest and their planning, slowing down purchases of agricultural machinery. In this context, the Federation of Manufacturers believes it is more important than ever to bring measures such as hyper-</w:t>
      </w:r>
      <w:proofErr w:type="spellStart"/>
      <w:r w:rsidRPr="00B93E2E">
        <w:rPr>
          <w:lang w:val="en-US"/>
        </w:rPr>
        <w:t>amortisation</w:t>
      </w:r>
      <w:proofErr w:type="spellEnd"/>
      <w:r w:rsidRPr="00B93E2E">
        <w:rPr>
          <w:lang w:val="en-US"/>
        </w:rPr>
        <w:t xml:space="preserve"> and the Transition 4.0 credit into full effect. The system of public incentives – notes FederUnacoma – can play a decisive role in </w:t>
      </w:r>
      <w:proofErr w:type="spellStart"/>
      <w:r w:rsidRPr="00B93E2E">
        <w:rPr>
          <w:lang w:val="en-US"/>
        </w:rPr>
        <w:t>stabilising</w:t>
      </w:r>
      <w:proofErr w:type="spellEnd"/>
      <w:r w:rsidRPr="00B93E2E">
        <w:rPr>
          <w:lang w:val="en-US"/>
        </w:rPr>
        <w:t xml:space="preserve"> the domestic market during a critical economic phase such as the current one.</w:t>
      </w:r>
    </w:p>
    <w:p w14:paraId="37CAE4C6" w14:textId="77777777" w:rsidR="00B93E2E" w:rsidRPr="00B93E2E" w:rsidRDefault="00B93E2E" w:rsidP="00B93E2E">
      <w:pPr>
        <w:ind w:left="2127"/>
        <w:jc w:val="both"/>
        <w:rPr>
          <w:b/>
          <w:bCs/>
          <w:sz w:val="26"/>
          <w:szCs w:val="26"/>
          <w:lang w:val="en-US"/>
        </w:rPr>
      </w:pPr>
    </w:p>
    <w:p w14:paraId="4AFBED78" w14:textId="0BC4186F" w:rsidR="006F1118" w:rsidRDefault="00E05B3F" w:rsidP="00B93E2E">
      <w:pPr>
        <w:ind w:left="2127"/>
        <w:jc w:val="both"/>
        <w:rPr>
          <w:b/>
          <w:bCs/>
          <w:sz w:val="23"/>
          <w:szCs w:val="23"/>
        </w:rPr>
      </w:pPr>
      <w:r w:rsidRPr="00E05B3F">
        <w:rPr>
          <w:b/>
          <w:bCs/>
          <w:sz w:val="23"/>
          <w:szCs w:val="23"/>
        </w:rPr>
        <w:t xml:space="preserve">Rome, </w:t>
      </w:r>
      <w:r w:rsidR="00B93E2E">
        <w:rPr>
          <w:b/>
          <w:bCs/>
          <w:sz w:val="23"/>
          <w:szCs w:val="23"/>
        </w:rPr>
        <w:t>4</w:t>
      </w:r>
      <w:r w:rsidRPr="00E05B3F">
        <w:rPr>
          <w:b/>
          <w:bCs/>
          <w:sz w:val="23"/>
          <w:szCs w:val="23"/>
        </w:rPr>
        <w:t xml:space="preserve"> </w:t>
      </w:r>
      <w:proofErr w:type="spellStart"/>
      <w:r w:rsidR="00B93E2E">
        <w:rPr>
          <w:b/>
          <w:bCs/>
          <w:sz w:val="23"/>
          <w:szCs w:val="23"/>
        </w:rPr>
        <w:t>May</w:t>
      </w:r>
      <w:proofErr w:type="spellEnd"/>
      <w:r w:rsidRPr="00E05B3F">
        <w:rPr>
          <w:b/>
          <w:bCs/>
          <w:sz w:val="23"/>
          <w:szCs w:val="23"/>
        </w:rPr>
        <w:t xml:space="preserve"> 2026</w:t>
      </w:r>
    </w:p>
    <w:p w14:paraId="1C7B404F" w14:textId="77777777" w:rsidR="00B93E2E" w:rsidRDefault="00B93E2E" w:rsidP="00B93E2E">
      <w:pPr>
        <w:ind w:left="2127"/>
        <w:jc w:val="both"/>
        <w:rPr>
          <w:b/>
          <w:bCs/>
          <w:sz w:val="23"/>
          <w:szCs w:val="23"/>
        </w:rPr>
      </w:pPr>
    </w:p>
    <w:p w14:paraId="3367C78C" w14:textId="2F5F045A" w:rsidR="00B93E2E" w:rsidRPr="00E05B3F" w:rsidRDefault="00B93E2E" w:rsidP="00B93E2E">
      <w:pPr>
        <w:ind w:left="2127"/>
        <w:jc w:val="both"/>
        <w:rPr>
          <w:b/>
          <w:bCs/>
          <w:sz w:val="23"/>
          <w:szCs w:val="23"/>
        </w:rPr>
      </w:pPr>
      <w:r w:rsidRPr="00D5196A">
        <w:rPr>
          <w:noProof/>
        </w:rPr>
        <w:lastRenderedPageBreak/>
        <w:drawing>
          <wp:inline distT="0" distB="0" distL="0" distR="0" wp14:anchorId="6B36B6E7" wp14:editId="2D139D54">
            <wp:extent cx="5192395" cy="4480274"/>
            <wp:effectExtent l="0" t="0" r="8255" b="0"/>
            <wp:docPr id="153270476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03754" cy="4490075"/>
                    </a:xfrm>
                    <a:prstGeom prst="rect">
                      <a:avLst/>
                    </a:prstGeom>
                    <a:noFill/>
                    <a:ln>
                      <a:noFill/>
                    </a:ln>
                  </pic:spPr>
                </pic:pic>
              </a:graphicData>
            </a:graphic>
          </wp:inline>
        </w:drawing>
      </w:r>
    </w:p>
    <w:sectPr w:rsidR="00B93E2E" w:rsidRPr="00E05B3F">
      <w:headerReference w:type="default" r:id="rId7"/>
      <w:footerReference w:type="default" r:id="rId8"/>
      <w:pgSz w:w="11900" w:h="16840"/>
      <w:pgMar w:top="454" w:right="1134" w:bottom="1134" w:left="1134" w:header="709" w:footer="19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90054" w14:textId="77777777" w:rsidR="00FB0486" w:rsidRDefault="00FB0486">
      <w:r>
        <w:separator/>
      </w:r>
    </w:p>
  </w:endnote>
  <w:endnote w:type="continuationSeparator" w:id="0">
    <w:p w14:paraId="00764F44" w14:textId="77777777" w:rsidR="00FB0486" w:rsidRDefault="00FB0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rlito">
    <w:altName w:val="Cambria"/>
    <w:panose1 w:val="020B0604020202020204"/>
    <w:charset w:val="00"/>
    <w:family w:val="swiss"/>
    <w:pitch w:val="variable"/>
    <w:sig w:usb0="E10002FF" w:usb1="5000ECFF" w:usb2="00000009" w:usb3="00000000" w:csb0="0000019F" w:csb1="00000000"/>
  </w:font>
  <w:font w:name="Helvetica Neue">
    <w:altName w:val="Sylfaen"/>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120313"/>
      <w:docPartObj>
        <w:docPartGallery w:val="Page Numbers (Bottom of Page)"/>
        <w:docPartUnique/>
      </w:docPartObj>
    </w:sdtPr>
    <w:sdtContent>
      <w:p w14:paraId="299ED76F" w14:textId="30B9F6E5" w:rsidR="00005981" w:rsidRDefault="00005981">
        <w:pPr>
          <w:pStyle w:val="Pidipagina"/>
          <w:jc w:val="right"/>
        </w:pPr>
        <w:r>
          <w:fldChar w:fldCharType="begin"/>
        </w:r>
        <w:r>
          <w:instrText>PAGE   \* MERGEFORMAT</w:instrText>
        </w:r>
        <w:r>
          <w:fldChar w:fldCharType="separate"/>
        </w:r>
        <w:r>
          <w:t>2</w:t>
        </w:r>
        <w:r>
          <w:fldChar w:fldCharType="end"/>
        </w:r>
      </w:p>
    </w:sdtContent>
  </w:sdt>
  <w:p w14:paraId="4B7722AC" w14:textId="77777777" w:rsidR="00293662" w:rsidRDefault="00293662">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EB6FA" w14:textId="77777777" w:rsidR="00FB0486" w:rsidRDefault="00FB0486">
      <w:r>
        <w:separator/>
      </w:r>
    </w:p>
  </w:footnote>
  <w:footnote w:type="continuationSeparator" w:id="0">
    <w:p w14:paraId="0B65E317" w14:textId="77777777" w:rsidR="00FB0486" w:rsidRDefault="00FB0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FEAA9" w14:textId="77777777" w:rsidR="00293662" w:rsidRDefault="00000000">
    <w:pPr>
      <w:pStyle w:val="Intestazione"/>
      <w:tabs>
        <w:tab w:val="clear" w:pos="9638"/>
      </w:tabs>
    </w:pPr>
    <w:r>
      <w:rPr>
        <w:noProof/>
      </w:rPr>
      <w:drawing>
        <wp:anchor distT="152400" distB="152400" distL="152400" distR="152400" simplePos="0" relativeHeight="251658240" behindDoc="1" locked="0" layoutInCell="1" allowOverlap="1" wp14:anchorId="533487CD" wp14:editId="214AABDA">
          <wp:simplePos x="0" y="0"/>
          <wp:positionH relativeFrom="page">
            <wp:posOffset>-38099</wp:posOffset>
          </wp:positionH>
          <wp:positionV relativeFrom="page">
            <wp:posOffset>-76834</wp:posOffset>
          </wp:positionV>
          <wp:extent cx="7599045" cy="10744200"/>
          <wp:effectExtent l="0" t="0" r="0" b="0"/>
          <wp:wrapNone/>
          <wp:docPr id="1073741825" name="officeArt object" descr="CI FEDERUNACOMA CS.jpeg"/>
          <wp:cNvGraphicFramePr/>
          <a:graphic xmlns:a="http://schemas.openxmlformats.org/drawingml/2006/main">
            <a:graphicData uri="http://schemas.openxmlformats.org/drawingml/2006/picture">
              <pic:pic xmlns:pic="http://schemas.openxmlformats.org/drawingml/2006/picture">
                <pic:nvPicPr>
                  <pic:cNvPr id="1073741825" name="CI FEDERUNACOMA CS.jpeg" descr="CI FEDERUNACOMA CS.jpeg"/>
                  <pic:cNvPicPr>
                    <a:picLocks noChangeAspect="1"/>
                  </pic:cNvPicPr>
                </pic:nvPicPr>
                <pic:blipFill>
                  <a:blip r:embed="rId1"/>
                  <a:stretch>
                    <a:fillRect/>
                  </a:stretch>
                </pic:blipFill>
                <pic:spPr>
                  <a:xfrm>
                    <a:off x="0" y="0"/>
                    <a:ext cx="7599045" cy="10744200"/>
                  </a:xfrm>
                  <a:prstGeom prst="rect">
                    <a:avLst/>
                  </a:prstGeom>
                  <a:ln w="12700" cap="flat">
                    <a:noFill/>
                    <a:miter lim="400000"/>
                  </a:ln>
                  <a:effectLst/>
                </pic:spPr>
              </pic:pic>
            </a:graphicData>
          </a:graphic>
        </wp:anchor>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662"/>
    <w:rsid w:val="00005981"/>
    <w:rsid w:val="000B6882"/>
    <w:rsid w:val="000F5D29"/>
    <w:rsid w:val="000F7272"/>
    <w:rsid w:val="00122112"/>
    <w:rsid w:val="00187E2C"/>
    <w:rsid w:val="001B452D"/>
    <w:rsid w:val="001C08EC"/>
    <w:rsid w:val="001C6446"/>
    <w:rsid w:val="00213A6E"/>
    <w:rsid w:val="002338F6"/>
    <w:rsid w:val="0024644D"/>
    <w:rsid w:val="00287C9C"/>
    <w:rsid w:val="00293662"/>
    <w:rsid w:val="00296F8A"/>
    <w:rsid w:val="002B1D97"/>
    <w:rsid w:val="002F26B9"/>
    <w:rsid w:val="00340E05"/>
    <w:rsid w:val="00362922"/>
    <w:rsid w:val="003D365C"/>
    <w:rsid w:val="003F7076"/>
    <w:rsid w:val="004057B1"/>
    <w:rsid w:val="00417F28"/>
    <w:rsid w:val="00452E15"/>
    <w:rsid w:val="00494DF9"/>
    <w:rsid w:val="004A5596"/>
    <w:rsid w:val="00522684"/>
    <w:rsid w:val="005606CA"/>
    <w:rsid w:val="005B1302"/>
    <w:rsid w:val="005C3E3C"/>
    <w:rsid w:val="005E2975"/>
    <w:rsid w:val="0067217E"/>
    <w:rsid w:val="00694798"/>
    <w:rsid w:val="00697126"/>
    <w:rsid w:val="006A4771"/>
    <w:rsid w:val="006F1118"/>
    <w:rsid w:val="007067AA"/>
    <w:rsid w:val="007462DB"/>
    <w:rsid w:val="0075232D"/>
    <w:rsid w:val="007929F2"/>
    <w:rsid w:val="008013EA"/>
    <w:rsid w:val="00854774"/>
    <w:rsid w:val="00863177"/>
    <w:rsid w:val="008A73AE"/>
    <w:rsid w:val="008D26EB"/>
    <w:rsid w:val="0090065C"/>
    <w:rsid w:val="00942B01"/>
    <w:rsid w:val="00964B1B"/>
    <w:rsid w:val="00A33375"/>
    <w:rsid w:val="00A52CC3"/>
    <w:rsid w:val="00A83B44"/>
    <w:rsid w:val="00AC2E62"/>
    <w:rsid w:val="00AD3A03"/>
    <w:rsid w:val="00AF07D8"/>
    <w:rsid w:val="00AF566D"/>
    <w:rsid w:val="00AF5C84"/>
    <w:rsid w:val="00B4474A"/>
    <w:rsid w:val="00B7137F"/>
    <w:rsid w:val="00B93E2E"/>
    <w:rsid w:val="00BD1AA2"/>
    <w:rsid w:val="00BD2C67"/>
    <w:rsid w:val="00BD3111"/>
    <w:rsid w:val="00C00BBF"/>
    <w:rsid w:val="00C975BB"/>
    <w:rsid w:val="00CF2AE5"/>
    <w:rsid w:val="00D1272B"/>
    <w:rsid w:val="00D41B76"/>
    <w:rsid w:val="00D51FCC"/>
    <w:rsid w:val="00DD0860"/>
    <w:rsid w:val="00DE390E"/>
    <w:rsid w:val="00E05B3F"/>
    <w:rsid w:val="00E10F5D"/>
    <w:rsid w:val="00E331E6"/>
    <w:rsid w:val="00ED04ED"/>
    <w:rsid w:val="00F30725"/>
    <w:rsid w:val="00F423FC"/>
    <w:rsid w:val="00F57DEB"/>
    <w:rsid w:val="00FA293E"/>
    <w:rsid w:val="00FB0486"/>
    <w:rsid w:val="00FC35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A5F7A"/>
  <w15:docId w15:val="{9883A9D3-9AF0-9744-871A-35D116E6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Times New Roman"/>
      <w:color w:val="000000"/>
      <w:sz w:val="24"/>
      <w:szCs w:val="24"/>
      <w:u w:color="000000"/>
    </w:rPr>
  </w:style>
  <w:style w:type="paragraph" w:styleId="Titolo1">
    <w:name w:val="heading 1"/>
    <w:next w:val="Normale"/>
    <w:uiPriority w:val="9"/>
    <w:qFormat/>
    <w:pPr>
      <w:keepNext/>
      <w:spacing w:before="240" w:after="60"/>
      <w:outlineLvl w:val="0"/>
    </w:pPr>
    <w:rPr>
      <w:rFonts w:ascii="Carlito" w:hAnsi="Carlito" w:cs="Arial Unicode MS"/>
      <w:b/>
      <w:bCs/>
      <w:color w:val="000000"/>
      <w:kern w:val="32"/>
      <w:sz w:val="32"/>
      <w:szCs w:val="3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14:textOutline w14:w="0" w14:cap="flat" w14:cmpd="sng" w14:algn="ctr">
        <w14:noFill/>
        <w14:prstDash w14:val="solid"/>
        <w14:bevel/>
      </w14:textOutline>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Pidipagina">
    <w:name w:val="footer"/>
    <w:basedOn w:val="Normale"/>
    <w:link w:val="PidipaginaCarattere"/>
    <w:uiPriority w:val="99"/>
    <w:unhideWhenUsed/>
    <w:rsid w:val="00005981"/>
    <w:pPr>
      <w:tabs>
        <w:tab w:val="center" w:pos="4819"/>
        <w:tab w:val="right" w:pos="9638"/>
      </w:tabs>
    </w:pPr>
  </w:style>
  <w:style w:type="character" w:customStyle="1" w:styleId="PidipaginaCarattere">
    <w:name w:val="Piè di pagina Carattere"/>
    <w:basedOn w:val="Carpredefinitoparagrafo"/>
    <w:link w:val="Pidipagina"/>
    <w:uiPriority w:val="99"/>
    <w:rsid w:val="00005981"/>
    <w:rPr>
      <w:rFonts w:eastAsia="Times New Roman"/>
      <w:color w:val="000000"/>
      <w:sz w:val="24"/>
      <w:szCs w:val="24"/>
      <w:u w:color="000000"/>
    </w:rPr>
  </w:style>
  <w:style w:type="paragraph" w:styleId="NormaleWeb">
    <w:name w:val="Normal (Web)"/>
    <w:basedOn w:val="Normale"/>
    <w:uiPriority w:val="99"/>
    <w:semiHidden/>
    <w:unhideWhenUsed/>
    <w:rsid w:val="00B93E2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13592">
      <w:bodyDiv w:val="1"/>
      <w:marLeft w:val="0"/>
      <w:marRight w:val="0"/>
      <w:marTop w:val="0"/>
      <w:marBottom w:val="0"/>
      <w:divBdr>
        <w:top w:val="none" w:sz="0" w:space="0" w:color="auto"/>
        <w:left w:val="none" w:sz="0" w:space="0" w:color="auto"/>
        <w:bottom w:val="none" w:sz="0" w:space="0" w:color="auto"/>
        <w:right w:val="none" w:sz="0" w:space="0" w:color="auto"/>
      </w:divBdr>
    </w:div>
    <w:div w:id="373190602">
      <w:bodyDiv w:val="1"/>
      <w:marLeft w:val="0"/>
      <w:marRight w:val="0"/>
      <w:marTop w:val="0"/>
      <w:marBottom w:val="0"/>
      <w:divBdr>
        <w:top w:val="none" w:sz="0" w:space="0" w:color="auto"/>
        <w:left w:val="none" w:sz="0" w:space="0" w:color="auto"/>
        <w:bottom w:val="none" w:sz="0" w:space="0" w:color="auto"/>
        <w:right w:val="none" w:sz="0" w:space="0" w:color="auto"/>
      </w:divBdr>
    </w:div>
    <w:div w:id="1625887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346</Words>
  <Characters>1978</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keywords>, docId:A69C3733835B450E14F04F8EC7440B22</cp:keywords>
  <cp:lastModifiedBy>Giò M</cp:lastModifiedBy>
  <cp:revision>2</cp:revision>
  <dcterms:created xsi:type="dcterms:W3CDTF">2026-05-04T10:14:00Z</dcterms:created>
  <dcterms:modified xsi:type="dcterms:W3CDTF">2026-05-04T10:14:00Z</dcterms:modified>
</cp:coreProperties>
</file>