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15927" w14:textId="77777777" w:rsidR="007A3C0D" w:rsidRDefault="007A3C0D">
      <w:pPr>
        <w:jc w:val="both"/>
        <w:rPr>
          <w:b/>
          <w:bCs/>
        </w:rPr>
      </w:pPr>
    </w:p>
    <w:p w14:paraId="3736018A" w14:textId="77777777" w:rsidR="007A3C0D" w:rsidRDefault="007A3C0D">
      <w:pPr>
        <w:jc w:val="both"/>
        <w:rPr>
          <w:b/>
          <w:bCs/>
        </w:rPr>
      </w:pPr>
    </w:p>
    <w:p w14:paraId="2DE5D2D7" w14:textId="77777777" w:rsidR="007A3C0D" w:rsidRDefault="007A3C0D">
      <w:pPr>
        <w:jc w:val="both"/>
        <w:rPr>
          <w:i/>
          <w:iCs/>
        </w:rPr>
      </w:pPr>
    </w:p>
    <w:p w14:paraId="64D6556C" w14:textId="77777777" w:rsidR="00106890" w:rsidRDefault="00106890">
      <w:pPr>
        <w:jc w:val="both"/>
        <w:rPr>
          <w:i/>
          <w:iCs/>
        </w:rPr>
      </w:pPr>
    </w:p>
    <w:p w14:paraId="0D980FD7" w14:textId="77777777" w:rsidR="007A3C0D" w:rsidRDefault="00FD40FD">
      <w:pPr>
        <w:jc w:val="both"/>
        <w:rPr>
          <w:i/>
          <w:iCs/>
        </w:rPr>
      </w:pPr>
      <w:r>
        <w:rPr>
          <w:i/>
          <w:iCs/>
        </w:rPr>
        <w:t xml:space="preserve">Comunicato stampa n. </w:t>
      </w:r>
      <w:r w:rsidR="00106890">
        <w:rPr>
          <w:i/>
          <w:iCs/>
        </w:rPr>
        <w:t>21</w:t>
      </w:r>
      <w:r>
        <w:rPr>
          <w:i/>
          <w:iCs/>
        </w:rPr>
        <w:t>/23</w:t>
      </w:r>
    </w:p>
    <w:p w14:paraId="1DA46B65" w14:textId="77777777" w:rsidR="007A3C0D" w:rsidRDefault="007A3C0D">
      <w:pPr>
        <w:jc w:val="both"/>
        <w:rPr>
          <w:i/>
          <w:iCs/>
          <w:sz w:val="10"/>
          <w:szCs w:val="10"/>
        </w:rPr>
      </w:pPr>
    </w:p>
    <w:p w14:paraId="47B8D5B0" w14:textId="77777777" w:rsidR="00106890" w:rsidRPr="004D3337" w:rsidRDefault="00106890" w:rsidP="00106890">
      <w:pPr>
        <w:jc w:val="both"/>
        <w:rPr>
          <w:rFonts w:cs="Times New Roman"/>
          <w:b/>
          <w:sz w:val="28"/>
          <w:szCs w:val="28"/>
        </w:rPr>
      </w:pPr>
      <w:r w:rsidRPr="004D3337">
        <w:rPr>
          <w:rFonts w:cs="Times New Roman"/>
          <w:b/>
          <w:sz w:val="28"/>
          <w:szCs w:val="28"/>
        </w:rPr>
        <w:t>Inaugurata Agrilevante: tecnologie agricole in scena a Bari</w:t>
      </w:r>
    </w:p>
    <w:p w14:paraId="18EA8C2B" w14:textId="77777777" w:rsidR="00106890" w:rsidRPr="008904BC" w:rsidRDefault="00106890" w:rsidP="00106890">
      <w:pPr>
        <w:jc w:val="both"/>
        <w:rPr>
          <w:rFonts w:cs="Times New Roman"/>
          <w:b/>
        </w:rPr>
      </w:pPr>
    </w:p>
    <w:p w14:paraId="79100F2E" w14:textId="77777777" w:rsidR="00106890" w:rsidRPr="004D3337" w:rsidRDefault="00106890" w:rsidP="00106890">
      <w:pPr>
        <w:jc w:val="both"/>
        <w:rPr>
          <w:rFonts w:cs="Times New Roman"/>
          <w:b/>
          <w:i/>
        </w:rPr>
      </w:pPr>
      <w:r w:rsidRPr="004D3337">
        <w:rPr>
          <w:rFonts w:cs="Times New Roman"/>
          <w:b/>
          <w:i/>
        </w:rPr>
        <w:t>Parte in grande stile l’esposizione delle macchine e delle attrezzature per le filiere agricole. Buona affluenza di pubblico e ricco calendario di incontri su temi salienti per l’agricoltura del Mezzogiorno e sulle nuove frontiere dell’economia circolare e della bioenergia.</w:t>
      </w:r>
    </w:p>
    <w:p w14:paraId="78235570" w14:textId="77777777" w:rsidR="00106890" w:rsidRPr="004D3337" w:rsidRDefault="00106890" w:rsidP="00106890">
      <w:pPr>
        <w:jc w:val="both"/>
        <w:rPr>
          <w:rFonts w:cs="Times New Roman"/>
          <w:b/>
          <w:i/>
        </w:rPr>
      </w:pPr>
    </w:p>
    <w:p w14:paraId="7E91A218" w14:textId="77777777" w:rsidR="00106890" w:rsidRDefault="00106890" w:rsidP="00106890">
      <w:pPr>
        <w:jc w:val="both"/>
        <w:rPr>
          <w:rFonts w:cs="Times New Roman"/>
        </w:rPr>
      </w:pPr>
      <w:r w:rsidRPr="008904BC">
        <w:rPr>
          <w:rFonts w:cs="Times New Roman"/>
        </w:rPr>
        <w:t>Un folto pubblico, composto da operatori economici, agricoltori, tecnici agromeccanici, ma anche studenti degli istituti agrari e tecnico-professionali</w:t>
      </w:r>
      <w:r>
        <w:rPr>
          <w:rFonts w:cs="Times New Roman"/>
        </w:rPr>
        <w:t xml:space="preserve">, </w:t>
      </w:r>
      <w:r w:rsidRPr="008904BC">
        <w:rPr>
          <w:rFonts w:cs="Times New Roman"/>
        </w:rPr>
        <w:t xml:space="preserve">ha animato la prima giornata di Agrilevante, la rassegna internazionale delle macchine e delle tecnologie per l’agricoltura del Mediterraneo. Inaugurata questa mattina, alla presenza del Sottosegretario del Ministero dell’Agricoltura, sovranità alimentare e foreste Patrizio Giacomo La Pietra, del Presidente dell’ICE Matteo Zoppas, del Presidente della Nuova Fiera del Levante Gaetano Frulli, dell’Assessore all’Agricoltura della </w:t>
      </w:r>
      <w:r>
        <w:rPr>
          <w:rFonts w:cs="Times New Roman"/>
        </w:rPr>
        <w:t>R</w:t>
      </w:r>
      <w:r w:rsidRPr="008904BC">
        <w:rPr>
          <w:rFonts w:cs="Times New Roman"/>
        </w:rPr>
        <w:t>egione Puglia Donato Pentassuglia, dell’Assessore allo sviluppo economico del Comune di Bari Carla Palone, oltre che del  Presidente e del Direttore Generale di FederUnacoma Mariateresa Maschio e Simona Rapastella, la rassegna presenta migliaia di modelli di macchine e attrezzature per ogni produzione agricola. Comprende anche un’ampia sezione dedicata alla zootecnia</w:t>
      </w:r>
      <w:r>
        <w:rPr>
          <w:rFonts w:cs="Times New Roman"/>
        </w:rPr>
        <w:t>,</w:t>
      </w:r>
      <w:r w:rsidRPr="008904BC">
        <w:rPr>
          <w:rFonts w:cs="Times New Roman"/>
        </w:rPr>
        <w:t xml:space="preserve"> dove sono in mostra oltre 400 capi di equini, bovini, ovini e animali da cortile delle migliori razze. Con l’apertura della manifestazione ha preso il via anche l’attività delle delegazioni ufficiali estere, in rappresentanza di 27 Paesi, organizzate dall’Agenzia ICE in collaborazione con FederUnacoma e ospitate per gli incontri business-to-business in un apposito padiglione del quartiere fieristico. </w:t>
      </w:r>
    </w:p>
    <w:p w14:paraId="34046F07" w14:textId="77777777" w:rsidR="00106890" w:rsidRDefault="00106890" w:rsidP="00106890">
      <w:pPr>
        <w:jc w:val="both"/>
        <w:rPr>
          <w:rFonts w:cs="Times New Roman"/>
        </w:rPr>
      </w:pPr>
      <w:r>
        <w:rPr>
          <w:rFonts w:cs="Times New Roman"/>
        </w:rPr>
        <w:t>Nel corso della giornata inaugurale della kermesse si sono svolti n</w:t>
      </w:r>
      <w:r w:rsidRPr="008904BC">
        <w:rPr>
          <w:rFonts w:cs="Times New Roman"/>
        </w:rPr>
        <w:t xml:space="preserve">umerosi incontri </w:t>
      </w:r>
      <w:r>
        <w:rPr>
          <w:rFonts w:cs="Times New Roman"/>
        </w:rPr>
        <w:t xml:space="preserve">di natura </w:t>
      </w:r>
      <w:r w:rsidRPr="008904BC">
        <w:rPr>
          <w:rFonts w:cs="Times New Roman"/>
        </w:rPr>
        <w:t>tecnic</w:t>
      </w:r>
      <w:r>
        <w:rPr>
          <w:rFonts w:cs="Times New Roman"/>
        </w:rPr>
        <w:t>a</w:t>
      </w:r>
      <w:r w:rsidRPr="008904BC">
        <w:rPr>
          <w:rFonts w:cs="Times New Roman"/>
        </w:rPr>
        <w:t xml:space="preserve"> ed economic</w:t>
      </w:r>
      <w:r>
        <w:rPr>
          <w:rFonts w:cs="Times New Roman"/>
        </w:rPr>
        <w:t>a</w:t>
      </w:r>
      <w:r w:rsidRPr="008904BC">
        <w:rPr>
          <w:rFonts w:cs="Times New Roman"/>
        </w:rPr>
        <w:t>, come quelli sull’agricoltura sostenibile/Progetto Horizon Seeds Ecosnodo, promosso dall’Università di Bari</w:t>
      </w:r>
      <w:r>
        <w:rPr>
          <w:rFonts w:cs="Times New Roman"/>
        </w:rPr>
        <w:t xml:space="preserve">; </w:t>
      </w:r>
      <w:r w:rsidRPr="008904BC">
        <w:rPr>
          <w:rFonts w:cs="Times New Roman"/>
        </w:rPr>
        <w:t>quello sulla tracciabilità delle produzioni cerealicole, promosso dall’Università della Basilicata</w:t>
      </w:r>
      <w:r>
        <w:rPr>
          <w:rFonts w:cs="Times New Roman"/>
        </w:rPr>
        <w:t xml:space="preserve">; </w:t>
      </w:r>
      <w:r w:rsidRPr="008904BC">
        <w:rPr>
          <w:rFonts w:cs="Times New Roman"/>
        </w:rPr>
        <w:t xml:space="preserve"> quello sui biosistemi agro-alimentari e forestali organizzato dalle Università di Foggia e Bologna. La bioenergia e la bioeconomia sono stati al centro di due </w:t>
      </w:r>
      <w:r>
        <w:rPr>
          <w:rFonts w:cs="Times New Roman"/>
        </w:rPr>
        <w:t>approfondimenti</w:t>
      </w:r>
      <w:r w:rsidRPr="008904BC">
        <w:rPr>
          <w:rFonts w:cs="Times New Roman"/>
        </w:rPr>
        <w:t xml:space="preserve"> organizzati rispettivamente da Itabia e RuralBioUp, mentre la Camera di Commercio Italo-Orientale ha dato vita ad un incontro sulla tutela dei marchi e </w:t>
      </w:r>
      <w:r>
        <w:rPr>
          <w:rFonts w:cs="Times New Roman"/>
        </w:rPr>
        <w:t xml:space="preserve">dei </w:t>
      </w:r>
      <w:r w:rsidRPr="008904BC">
        <w:rPr>
          <w:rFonts w:cs="Times New Roman"/>
        </w:rPr>
        <w:t xml:space="preserve">brevetti. </w:t>
      </w:r>
      <w:r>
        <w:rPr>
          <w:rFonts w:cs="Times New Roman"/>
        </w:rPr>
        <w:t>I convegni</w:t>
      </w:r>
      <w:r w:rsidRPr="008904BC">
        <w:rPr>
          <w:rFonts w:cs="Times New Roman"/>
        </w:rPr>
        <w:t xml:space="preserve"> sulla zootecnia 4.0, organizzato da Ruralset, Mansueto SRL e FederUnacoma; sulla condizionalità nella PAC 23/27, promosso da NewBusinessMedia; e su</w:t>
      </w:r>
      <w:r>
        <w:rPr>
          <w:rFonts w:cs="Times New Roman"/>
        </w:rPr>
        <w:t>l</w:t>
      </w:r>
      <w:r w:rsidRPr="008904BC">
        <w:rPr>
          <w:rFonts w:cs="Times New Roman"/>
        </w:rPr>
        <w:t xml:space="preserve"> Bando PNRR e Fondo Innovazione, </w:t>
      </w:r>
      <w:r>
        <w:rPr>
          <w:rFonts w:cs="Times New Roman"/>
        </w:rPr>
        <w:t>a cura di</w:t>
      </w:r>
      <w:r w:rsidRPr="008904BC">
        <w:rPr>
          <w:rFonts w:cs="Times New Roman"/>
        </w:rPr>
        <w:t xml:space="preserve"> FederAcma, hanno caratterizzato il pomeriggio. </w:t>
      </w:r>
    </w:p>
    <w:p w14:paraId="29242035" w14:textId="77777777" w:rsidR="00106890" w:rsidRPr="008904BC" w:rsidRDefault="00106890" w:rsidP="00106890">
      <w:pPr>
        <w:jc w:val="both"/>
        <w:rPr>
          <w:rFonts w:cs="Times New Roman"/>
        </w:rPr>
      </w:pPr>
      <w:r w:rsidRPr="008904BC">
        <w:rPr>
          <w:rFonts w:cs="Times New Roman"/>
        </w:rPr>
        <w:t>Spazio anche ai settori del vino e dell’olio, con la presentazione della rassegna EnoliExpo, in calendario alla fiera di Bari dal 7 al 9 marzo 2024. “Quella agronomica sarà solo una delle componenti di EnoliExpo</w:t>
      </w:r>
      <w:r>
        <w:rPr>
          <w:rFonts w:cs="Times New Roman"/>
        </w:rPr>
        <w:t>, l’</w:t>
      </w:r>
      <w:r w:rsidRPr="008904BC">
        <w:rPr>
          <w:rFonts w:cs="Times New Roman"/>
        </w:rPr>
        <w:t xml:space="preserve"> unica fiera in Italia che</w:t>
      </w:r>
      <w:r>
        <w:rPr>
          <w:rFonts w:cs="Times New Roman"/>
        </w:rPr>
        <w:t xml:space="preserve">  </w:t>
      </w:r>
      <w:r w:rsidRPr="008904BC">
        <w:rPr>
          <w:rFonts w:cs="Times New Roman"/>
        </w:rPr>
        <w:t xml:space="preserve">– spiegano gli organizzatori della rassegna –  </w:t>
      </w:r>
      <w:r>
        <w:rPr>
          <w:rFonts w:cs="Times New Roman"/>
        </w:rPr>
        <w:t>presenta l’intera filiera</w:t>
      </w:r>
      <w:r w:rsidRPr="008904BC">
        <w:rPr>
          <w:rFonts w:cs="Times New Roman"/>
        </w:rPr>
        <w:t xml:space="preserve"> </w:t>
      </w:r>
      <w:r>
        <w:rPr>
          <w:rFonts w:cs="Times New Roman"/>
        </w:rPr>
        <w:t>viticola</w:t>
      </w:r>
      <w:r w:rsidRPr="008904BC">
        <w:rPr>
          <w:rFonts w:cs="Times New Roman"/>
        </w:rPr>
        <w:t>-enologic</w:t>
      </w:r>
      <w:r>
        <w:rPr>
          <w:rFonts w:cs="Times New Roman"/>
        </w:rPr>
        <w:t>a</w:t>
      </w:r>
      <w:r w:rsidRPr="008904BC">
        <w:rPr>
          <w:rFonts w:cs="Times New Roman"/>
        </w:rPr>
        <w:t xml:space="preserve"> e olivicolo-oleari</w:t>
      </w:r>
      <w:r>
        <w:rPr>
          <w:rFonts w:cs="Times New Roman"/>
        </w:rPr>
        <w:t xml:space="preserve">a, dalla coltivazione in campo alla </w:t>
      </w:r>
      <w:r w:rsidRPr="008904BC">
        <w:rPr>
          <w:rFonts w:cs="Times New Roman"/>
        </w:rPr>
        <w:t xml:space="preserve">trasformazione in cantina ed in frantoio, </w:t>
      </w:r>
      <w:r>
        <w:rPr>
          <w:rFonts w:cs="Times New Roman"/>
        </w:rPr>
        <w:t>fino alla</w:t>
      </w:r>
      <w:r w:rsidRPr="008904BC">
        <w:rPr>
          <w:rFonts w:cs="Times New Roman"/>
        </w:rPr>
        <w:t xml:space="preserve"> commercializzazione”.</w:t>
      </w:r>
    </w:p>
    <w:p w14:paraId="69F461BA" w14:textId="77777777" w:rsidR="00106890" w:rsidRPr="0033183E" w:rsidRDefault="00106890">
      <w:pPr>
        <w:jc w:val="both"/>
        <w:rPr>
          <w:i/>
          <w:iCs/>
          <w:sz w:val="10"/>
          <w:szCs w:val="10"/>
        </w:rPr>
      </w:pPr>
    </w:p>
    <w:p w14:paraId="5F55F98E" w14:textId="77777777" w:rsidR="00FF6484" w:rsidRDefault="00FF6484" w:rsidP="00FF6484">
      <w:pPr>
        <w:shd w:val="clear" w:color="auto" w:fill="FFFFFF"/>
        <w:jc w:val="both"/>
        <w:rPr>
          <w:rFonts w:cs="Times New Roman"/>
          <w:b/>
          <w:sz w:val="28"/>
          <w:szCs w:val="28"/>
        </w:rPr>
      </w:pPr>
    </w:p>
    <w:p w14:paraId="0053A664" w14:textId="77777777" w:rsidR="00106890" w:rsidRPr="0033183E" w:rsidRDefault="00106890" w:rsidP="00FF6484">
      <w:pPr>
        <w:shd w:val="clear" w:color="auto" w:fill="FFFFFF"/>
        <w:jc w:val="both"/>
        <w:rPr>
          <w:rFonts w:eastAsia="Times New Roman" w:cs="Times New Roman"/>
          <w:color w:val="222222"/>
          <w:sz w:val="10"/>
          <w:szCs w:val="10"/>
        </w:rPr>
      </w:pPr>
    </w:p>
    <w:p w14:paraId="2422E9BA" w14:textId="77777777" w:rsidR="007A3C0D" w:rsidRPr="0033183E" w:rsidRDefault="00FF6484" w:rsidP="0033183E">
      <w:pPr>
        <w:shd w:val="clear" w:color="auto" w:fill="FFFFFF"/>
        <w:jc w:val="both"/>
        <w:rPr>
          <w:b/>
          <w:bCs/>
        </w:rPr>
      </w:pPr>
      <w:r w:rsidRPr="00FF6484">
        <w:rPr>
          <w:rFonts w:eastAsia="Times New Roman" w:cs="Times New Roman"/>
          <w:b/>
          <w:bCs/>
          <w:color w:val="222222"/>
        </w:rPr>
        <w:t xml:space="preserve">Bari, </w:t>
      </w:r>
      <w:r w:rsidR="0033183E">
        <w:rPr>
          <w:rFonts w:eastAsia="Times New Roman" w:cs="Times New Roman"/>
          <w:b/>
          <w:bCs/>
          <w:color w:val="222222"/>
        </w:rPr>
        <w:t>5</w:t>
      </w:r>
      <w:r w:rsidRPr="00FF6484">
        <w:rPr>
          <w:rFonts w:eastAsia="Times New Roman" w:cs="Times New Roman"/>
          <w:b/>
          <w:bCs/>
          <w:color w:val="222222"/>
        </w:rPr>
        <w:t xml:space="preserve"> ottobre 2023</w:t>
      </w:r>
    </w:p>
    <w:sectPr w:rsidR="007A3C0D" w:rsidRPr="0033183E" w:rsidSect="006127EC">
      <w:headerReference w:type="default" r:id="rId6"/>
      <w:footerReference w:type="default" r:id="rId7"/>
      <w:headerReference w:type="first" r:id="rId8"/>
      <w:footerReference w:type="first" r:id="rId9"/>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6B359" w14:textId="77777777" w:rsidR="003139DF" w:rsidRDefault="003139DF">
      <w:r>
        <w:separator/>
      </w:r>
    </w:p>
  </w:endnote>
  <w:endnote w:type="continuationSeparator" w:id="0">
    <w:p w14:paraId="67B15302" w14:textId="77777777" w:rsidR="003139DF" w:rsidRDefault="00313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54A0" w14:textId="77777777" w:rsidR="007A3C0D" w:rsidRDefault="006127EC">
    <w:pPr>
      <w:pStyle w:val="Pidipagina"/>
      <w:tabs>
        <w:tab w:val="clear" w:pos="9638"/>
        <w:tab w:val="right" w:pos="7910"/>
      </w:tabs>
      <w:jc w:val="right"/>
    </w:pPr>
    <w:r>
      <w:fldChar w:fldCharType="begin"/>
    </w:r>
    <w:r w:rsidR="00FD40FD">
      <w:instrText xml:space="preserve"> PAGE </w:instrText>
    </w:r>
    <w:r>
      <w:fldChar w:fldCharType="separate"/>
    </w:r>
    <w:r w:rsidR="004F6D3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C891" w14:textId="77777777" w:rsidR="007A3C0D" w:rsidRDefault="006127EC">
    <w:pPr>
      <w:pStyle w:val="Pidipagina"/>
      <w:tabs>
        <w:tab w:val="clear" w:pos="9638"/>
        <w:tab w:val="right" w:pos="8341"/>
      </w:tabs>
      <w:jc w:val="right"/>
    </w:pPr>
    <w:r>
      <w:fldChar w:fldCharType="begin"/>
    </w:r>
    <w:r w:rsidR="00FD40FD">
      <w:instrText xml:space="preserve"> PAGE </w:instrText>
    </w:r>
    <w:r>
      <w:fldChar w:fldCharType="separate"/>
    </w:r>
    <w:r w:rsidR="0010689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54481" w14:textId="77777777" w:rsidR="003139DF" w:rsidRDefault="003139DF">
      <w:r>
        <w:separator/>
      </w:r>
    </w:p>
  </w:footnote>
  <w:footnote w:type="continuationSeparator" w:id="0">
    <w:p w14:paraId="4A620B83" w14:textId="77777777" w:rsidR="003139DF" w:rsidRDefault="00313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AC62" w14:textId="4D06B0FE" w:rsidR="007A3C0D" w:rsidRDefault="005E0832">
    <w:pPr>
      <w:pStyle w:val="Intestazioneepidipagina"/>
      <w:rPr>
        <w:rFonts w:hint="eastAsia"/>
      </w:rPr>
    </w:pPr>
    <w:r>
      <w:rPr>
        <w:rFonts w:hint="eastAsia"/>
        <w:noProof/>
      </w:rPr>
      <mc:AlternateContent>
        <mc:Choice Requires="wps">
          <w:drawing>
            <wp:anchor distT="152400" distB="152400" distL="152400" distR="152400" simplePos="0" relativeHeight="251656704" behindDoc="1" locked="0" layoutInCell="1" allowOverlap="1" wp14:anchorId="00A88102" wp14:editId="1C3C3695">
              <wp:simplePos x="0" y="0"/>
              <wp:positionH relativeFrom="page">
                <wp:posOffset>0</wp:posOffset>
              </wp:positionH>
              <wp:positionV relativeFrom="page">
                <wp:posOffset>0</wp:posOffset>
              </wp:positionV>
              <wp:extent cx="7556500" cy="10693400"/>
              <wp:effectExtent l="0" t="0" r="0" b="0"/>
              <wp:wrapNone/>
              <wp:docPr id="1271326709" name="Rettangolo con angoli arrotondati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14:sizeRelH relativeFrom="page">
                <wp14:pctWidth>0</wp14:pctWidth>
              </wp14:sizeRelH>
              <wp14:sizeRelV relativeFrom="page">
                <wp14:pctHeight>0</wp14:pctHeight>
              </wp14:sizeRelV>
            </wp:anchor>
          </w:drawing>
        </mc:Choice>
        <mc:Fallback>
          <w:pict>
            <v:roundrect w14:anchorId="6E806268" id="Rettangolo con angoli arrotondati 2" o:spid="_x0000_s1026" style="position:absolute;margin-left:0;margin-top:0;width:595pt;height:842pt;z-index:-25165977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" stroked="f" strokeweight="1pt">
              <v:stroke miterlimit="4" joinstyle="miter"/>
              <w10:wrap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1C6E" w14:textId="058F4203" w:rsidR="007A3C0D" w:rsidRDefault="005E0832">
    <w:pPr>
      <w:pStyle w:val="Intestazione"/>
      <w:tabs>
        <w:tab w:val="clear" w:pos="9638"/>
        <w:tab w:val="right" w:pos="7910"/>
      </w:tabs>
      <w:jc w:val="center"/>
    </w:pPr>
    <w:r>
      <w:rPr>
        <w:noProof/>
      </w:rPr>
      <mc:AlternateContent>
        <mc:Choice Requires="wps">
          <w:drawing>
            <wp:anchor distT="152400" distB="152400" distL="152400" distR="152400" simplePos="0" relativeHeight="251657728" behindDoc="1" locked="0" layoutInCell="1" allowOverlap="1" wp14:anchorId="5B69CBD1" wp14:editId="6C8D58A9">
              <wp:simplePos x="0" y="0"/>
              <wp:positionH relativeFrom="page">
                <wp:posOffset>0</wp:posOffset>
              </wp:positionH>
              <wp:positionV relativeFrom="page">
                <wp:posOffset>0</wp:posOffset>
              </wp:positionV>
              <wp:extent cx="7556500" cy="10693400"/>
              <wp:effectExtent l="0" t="0" r="0" b="0"/>
              <wp:wrapNone/>
              <wp:docPr id="1516808353" name="Rettangolo con angoli arrotondati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14:sizeRelH relativeFrom="page">
                <wp14:pctWidth>0</wp14:pctWidth>
              </wp14:sizeRelH>
              <wp14:sizeRelV relativeFrom="page">
                <wp14:pctHeight>0</wp14:pctHeight>
              </wp14:sizeRelV>
            </wp:anchor>
          </w:drawing>
        </mc:Choice>
        <mc:Fallback>
          <w:pict>
            <v:roundrect w14:anchorId="6F0E4FCD" id="Rettangolo con angoli arrotondati 1" o:spid="_x0000_s1026" style="position:absolute;margin-left:0;margin-top:0;width:595pt;height:842pt;z-index:-2516587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" stroked="f" strokeweight="1pt">
              <v:stroke miterlimit="4" joinstyle="miter"/>
              <w10:wrap anchorx="page" anchory="page"/>
            </v:roundrect>
          </w:pict>
        </mc:Fallback>
      </mc:AlternateContent>
    </w:r>
    <w:r w:rsidR="00FD40FD">
      <w:rPr>
        <w:noProof/>
      </w:rPr>
      <w:drawing>
        <wp:anchor distT="152400" distB="152400" distL="152400" distR="152400" simplePos="0" relativeHeight="251658752" behindDoc="1" locked="0" layoutInCell="1" allowOverlap="1" wp14:anchorId="04BD0392" wp14:editId="623EB388">
          <wp:simplePos x="0" y="0"/>
          <wp:positionH relativeFrom="page">
            <wp:posOffset>-59688</wp:posOffset>
          </wp:positionH>
          <wp:positionV relativeFrom="page">
            <wp:posOffset>-28574</wp:posOffset>
          </wp:positionV>
          <wp:extent cx="7601585" cy="10744200"/>
          <wp:effectExtent l="0" t="0" r="0" b="0"/>
          <wp:wrapNone/>
          <wp:docPr id="1073741827"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7" name="officeArt object" descr="officeArt object"/>
                  <pic:cNvPicPr>
                    <a:picLocks noChangeAspect="1"/>
                  </pic:cNvPicPr>
                </pic:nvPicPr>
                <pic:blipFill>
                  <a:blip r:embed="rId1"/>
                  <a:stretch>
                    <a:fillRect/>
                  </a:stretch>
                </pic:blipFill>
                <pic:spPr>
                  <a:xfrm>
                    <a:off x="0" y="0"/>
                    <a:ext cx="7601585" cy="107442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0D"/>
    <w:rsid w:val="00024E16"/>
    <w:rsid w:val="00036998"/>
    <w:rsid w:val="000948F2"/>
    <w:rsid w:val="0010497B"/>
    <w:rsid w:val="00106890"/>
    <w:rsid w:val="00141052"/>
    <w:rsid w:val="001C42A2"/>
    <w:rsid w:val="00215B9D"/>
    <w:rsid w:val="00231BEF"/>
    <w:rsid w:val="00235ED2"/>
    <w:rsid w:val="00244E1E"/>
    <w:rsid w:val="0027450B"/>
    <w:rsid w:val="00283E5B"/>
    <w:rsid w:val="002A79A3"/>
    <w:rsid w:val="003139DF"/>
    <w:rsid w:val="003151F4"/>
    <w:rsid w:val="0033183E"/>
    <w:rsid w:val="003620E0"/>
    <w:rsid w:val="003D5FF9"/>
    <w:rsid w:val="00406631"/>
    <w:rsid w:val="00461953"/>
    <w:rsid w:val="004B3656"/>
    <w:rsid w:val="004D7A6C"/>
    <w:rsid w:val="004F6D3F"/>
    <w:rsid w:val="00523121"/>
    <w:rsid w:val="005C5C20"/>
    <w:rsid w:val="005E0832"/>
    <w:rsid w:val="006127EC"/>
    <w:rsid w:val="00637539"/>
    <w:rsid w:val="006523F7"/>
    <w:rsid w:val="00690F55"/>
    <w:rsid w:val="006A168C"/>
    <w:rsid w:val="006A444E"/>
    <w:rsid w:val="00750082"/>
    <w:rsid w:val="00791C32"/>
    <w:rsid w:val="007A3C0D"/>
    <w:rsid w:val="007F4B9F"/>
    <w:rsid w:val="00835215"/>
    <w:rsid w:val="008A738E"/>
    <w:rsid w:val="00907B06"/>
    <w:rsid w:val="009127D5"/>
    <w:rsid w:val="00956871"/>
    <w:rsid w:val="009A1BB5"/>
    <w:rsid w:val="009D3011"/>
    <w:rsid w:val="00A41730"/>
    <w:rsid w:val="00BA3C07"/>
    <w:rsid w:val="00BE63E9"/>
    <w:rsid w:val="00C40720"/>
    <w:rsid w:val="00CA61D3"/>
    <w:rsid w:val="00D175F3"/>
    <w:rsid w:val="00D23264"/>
    <w:rsid w:val="00E13E8E"/>
    <w:rsid w:val="00EE0711"/>
    <w:rsid w:val="00F41568"/>
    <w:rsid w:val="00F74E2E"/>
    <w:rsid w:val="00F82247"/>
    <w:rsid w:val="00FD40FD"/>
    <w:rsid w:val="00FF64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3EDD0"/>
  <w15:docId w15:val="{07903D5F-C6FD-4CE3-BAAB-A093EBFD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127EC"/>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127EC"/>
    <w:rPr>
      <w:u w:val="single"/>
    </w:rPr>
  </w:style>
  <w:style w:type="table" w:customStyle="1" w:styleId="TableNormal">
    <w:name w:val="Table Normal"/>
    <w:rsid w:val="006127EC"/>
    <w:tblPr>
      <w:tblInd w:w="0" w:type="dxa"/>
      <w:tblCellMar>
        <w:top w:w="0" w:type="dxa"/>
        <w:left w:w="0" w:type="dxa"/>
        <w:bottom w:w="0" w:type="dxa"/>
        <w:right w:w="0" w:type="dxa"/>
      </w:tblCellMar>
    </w:tblPr>
  </w:style>
  <w:style w:type="paragraph" w:customStyle="1" w:styleId="Intestazioneepidipagina">
    <w:name w:val="Intestazione e piè di pagina"/>
    <w:rsid w:val="006127EC"/>
    <w:pPr>
      <w:tabs>
        <w:tab w:val="right" w:pos="9020"/>
      </w:tabs>
    </w:pPr>
    <w:rPr>
      <w:rFonts w:ascii="Helvetica Neue" w:hAnsi="Helvetica Neue" w:cs="Arial Unicode MS"/>
      <w:color w:val="000000"/>
      <w:sz w:val="24"/>
      <w:szCs w:val="24"/>
    </w:rPr>
  </w:style>
  <w:style w:type="paragraph" w:styleId="Pidipagina">
    <w:name w:val="footer"/>
    <w:rsid w:val="006127EC"/>
    <w:pPr>
      <w:tabs>
        <w:tab w:val="center" w:pos="4819"/>
        <w:tab w:val="right" w:pos="9638"/>
      </w:tabs>
    </w:pPr>
    <w:rPr>
      <w:rFonts w:cs="Arial Unicode MS"/>
      <w:color w:val="000000"/>
      <w:sz w:val="24"/>
      <w:szCs w:val="24"/>
      <w:u w:color="000000"/>
    </w:rPr>
  </w:style>
  <w:style w:type="paragraph" w:styleId="Intestazione">
    <w:name w:val="header"/>
    <w:rsid w:val="006127EC"/>
    <w:pPr>
      <w:tabs>
        <w:tab w:val="center" w:pos="4819"/>
        <w:tab w:val="right" w:pos="9638"/>
      </w:tabs>
    </w:pPr>
    <w:rPr>
      <w:rFonts w:cs="Arial Unicode MS"/>
      <w:color w:val="000000"/>
      <w:sz w:val="24"/>
      <w:szCs w:val="24"/>
      <w:u w:color="000000"/>
    </w:rPr>
  </w:style>
  <w:style w:type="paragraph" w:customStyle="1" w:styleId="Default">
    <w:name w:val="Default"/>
    <w:rsid w:val="006127EC"/>
    <w:pPr>
      <w:spacing w:before="160" w:line="288" w:lineRule="auto"/>
    </w:pPr>
    <w:rPr>
      <w:rFonts w:ascii="Helvetica Neue" w:hAnsi="Helvetica Neue" w:cs="Arial Unicode MS"/>
      <w:color w:val="000000"/>
      <w:sz w:val="24"/>
      <w:szCs w:val="24"/>
    </w:rPr>
  </w:style>
  <w:style w:type="character" w:styleId="Rimandocommento">
    <w:name w:val="annotation reference"/>
    <w:basedOn w:val="Carpredefinitoparagrafo"/>
    <w:uiPriority w:val="99"/>
    <w:semiHidden/>
    <w:unhideWhenUsed/>
    <w:rsid w:val="00690F55"/>
    <w:rPr>
      <w:sz w:val="16"/>
      <w:szCs w:val="16"/>
    </w:rPr>
  </w:style>
  <w:style w:type="paragraph" w:styleId="Testocommento">
    <w:name w:val="annotation text"/>
    <w:basedOn w:val="Normale"/>
    <w:link w:val="TestocommentoCarattere"/>
    <w:uiPriority w:val="99"/>
    <w:semiHidden/>
    <w:unhideWhenUsed/>
    <w:rsid w:val="00690F55"/>
    <w:rPr>
      <w:sz w:val="20"/>
      <w:szCs w:val="20"/>
    </w:rPr>
  </w:style>
  <w:style w:type="character" w:customStyle="1" w:styleId="TestocommentoCarattere">
    <w:name w:val="Testo commento Carattere"/>
    <w:basedOn w:val="Carpredefinitoparagrafo"/>
    <w:link w:val="Testocommento"/>
    <w:uiPriority w:val="99"/>
    <w:semiHidden/>
    <w:rsid w:val="00690F55"/>
    <w:rPr>
      <w:rFonts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690F55"/>
    <w:rPr>
      <w:b/>
      <w:bCs/>
    </w:rPr>
  </w:style>
  <w:style w:type="character" w:customStyle="1" w:styleId="SoggettocommentoCarattere">
    <w:name w:val="Soggetto commento Carattere"/>
    <w:basedOn w:val="TestocommentoCarattere"/>
    <w:link w:val="Soggettocommento"/>
    <w:uiPriority w:val="99"/>
    <w:semiHidden/>
    <w:rsid w:val="00690F55"/>
    <w:rPr>
      <w:rFonts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722605">
      <w:bodyDiv w:val="1"/>
      <w:marLeft w:val="0"/>
      <w:marRight w:val="0"/>
      <w:marTop w:val="0"/>
      <w:marBottom w:val="0"/>
      <w:divBdr>
        <w:top w:val="none" w:sz="0" w:space="0" w:color="auto"/>
        <w:left w:val="none" w:sz="0" w:space="0" w:color="auto"/>
        <w:bottom w:val="none" w:sz="0" w:space="0" w:color="auto"/>
        <w:right w:val="none" w:sz="0" w:space="0" w:color="auto"/>
      </w:divBdr>
    </w:div>
    <w:div w:id="1775856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2666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Patrizia Menicucci</cp:lastModifiedBy>
  <cp:revision>2</cp:revision>
  <cp:lastPrinted>2023-10-04T08:36:00Z</cp:lastPrinted>
  <dcterms:created xsi:type="dcterms:W3CDTF">2023-10-06T02:07:00Z</dcterms:created>
  <dcterms:modified xsi:type="dcterms:W3CDTF">2023-10-06T02:07:00Z</dcterms:modified>
</cp:coreProperties>
</file>