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B1" w:rsidRPr="00CF0CD9" w:rsidRDefault="002637C5" w:rsidP="00314EC8">
      <w:pPr>
        <w:jc w:val="both"/>
        <w:rPr>
          <w:i/>
          <w:lang w:val="en-GB"/>
        </w:rPr>
      </w:pPr>
      <w:r>
        <w:rPr>
          <w:i/>
          <w:lang w:val="en-GB"/>
        </w:rPr>
        <w:t xml:space="preserve">  </w:t>
      </w:r>
      <w:r w:rsidR="00CC28D0" w:rsidRPr="00CF0CD9">
        <w:rPr>
          <w:i/>
          <w:lang w:val="en-GB"/>
        </w:rPr>
        <w:t xml:space="preserve"> Press release </w:t>
      </w:r>
    </w:p>
    <w:p w:rsidR="00314EC8" w:rsidRPr="00CF0CD9" w:rsidRDefault="00314EC8" w:rsidP="00314EC8">
      <w:pPr>
        <w:ind w:left="142"/>
        <w:jc w:val="both"/>
        <w:rPr>
          <w:b/>
          <w:bCs/>
          <w:sz w:val="28"/>
          <w:szCs w:val="28"/>
          <w:lang w:val="en-GB"/>
        </w:rPr>
      </w:pPr>
      <w:r w:rsidRPr="00CF0CD9">
        <w:rPr>
          <w:b/>
          <w:bCs/>
          <w:sz w:val="28"/>
          <w:szCs w:val="28"/>
          <w:lang w:val="en-GB"/>
        </w:rPr>
        <w:t>Green machinery, growing market in 2020</w:t>
      </w:r>
    </w:p>
    <w:p w:rsidR="006F4F07" w:rsidRPr="00CF0CD9" w:rsidRDefault="006F4F07" w:rsidP="00314EC8">
      <w:pPr>
        <w:ind w:left="142"/>
        <w:jc w:val="both"/>
        <w:rPr>
          <w:b/>
          <w:bCs/>
          <w:i/>
          <w:iCs/>
          <w:lang w:val="en-GB"/>
        </w:rPr>
      </w:pPr>
    </w:p>
    <w:p w:rsidR="00314EC8" w:rsidRPr="00CF0CD9" w:rsidRDefault="00314EC8" w:rsidP="00314EC8">
      <w:pPr>
        <w:ind w:left="142"/>
        <w:jc w:val="both"/>
        <w:rPr>
          <w:b/>
          <w:bCs/>
          <w:i/>
          <w:iCs/>
          <w:lang w:val="en-GB"/>
        </w:rPr>
      </w:pPr>
      <w:r w:rsidRPr="00CF0CD9">
        <w:rPr>
          <w:b/>
          <w:bCs/>
          <w:i/>
          <w:iCs/>
          <w:lang w:val="en-GB"/>
        </w:rPr>
        <w:t>After a sharp drop at the beginning of the year, sales of gardening machinery and equipment recovered steadily during the summer and autumn months, reaching a peak in the last quarter that brought the final balance to a profit of 3.3%. The figure for lawn mowers was negative, while sprayers, which are also used for sanitizing environments, showed a clear increase.</w:t>
      </w:r>
    </w:p>
    <w:p w:rsidR="006F4F07" w:rsidRPr="00CF0CD9" w:rsidRDefault="006F4F07" w:rsidP="00314EC8">
      <w:pPr>
        <w:ind w:left="142"/>
        <w:jc w:val="both"/>
        <w:rPr>
          <w:lang w:val="en-GB"/>
        </w:rPr>
      </w:pPr>
    </w:p>
    <w:p w:rsidR="00314EC8" w:rsidRPr="00CF0CD9" w:rsidRDefault="00314EC8" w:rsidP="00314EC8">
      <w:pPr>
        <w:ind w:left="142"/>
        <w:jc w:val="both"/>
        <w:rPr>
          <w:lang w:val="en-GB"/>
        </w:rPr>
      </w:pPr>
      <w:r w:rsidRPr="00CF0CD9">
        <w:rPr>
          <w:lang w:val="en-GB"/>
        </w:rPr>
        <w:t>The surge in sales recorded in the last quarter of 2020 (+34.5%) brought the market for gardening and landscaping machinery and equipment back into the black. The sector, which had plummeted in the first quarter (-24.4%), also due to the blockage of production and commercial activities following the health emergency, gradually recovered in the summer and autumn months (+12.4% in the second quarter, +21.9% in the third)</w:t>
      </w:r>
      <w:r w:rsidR="00CF0CD9">
        <w:rPr>
          <w:lang w:val="en-GB"/>
        </w:rPr>
        <w:t>,</w:t>
      </w:r>
      <w:r w:rsidRPr="00CF0CD9">
        <w:rPr>
          <w:lang w:val="en-GB"/>
        </w:rPr>
        <w:t xml:space="preserve"> reach</w:t>
      </w:r>
      <w:r w:rsidR="00CF0CD9">
        <w:rPr>
          <w:lang w:val="en-GB"/>
        </w:rPr>
        <w:t>ing</w:t>
      </w:r>
      <w:r w:rsidRPr="00CF0CD9">
        <w:rPr>
          <w:lang w:val="en-GB"/>
        </w:rPr>
        <w:t xml:space="preserve"> a sales peak in October-December. The average between the negative figure at the beginning of the year and the subsequent recoveries led to a </w:t>
      </w:r>
      <w:r w:rsidR="00CF0CD9">
        <w:rPr>
          <w:lang w:val="en-GB"/>
        </w:rPr>
        <w:t>closing</w:t>
      </w:r>
      <w:r w:rsidRPr="00CF0CD9">
        <w:rPr>
          <w:lang w:val="en-GB"/>
        </w:rPr>
        <w:t xml:space="preserve"> balance in the black by 3.3%, with 1,318,000 items sold (from self-propelled machines for green maintenance to individual gardening tools), representing the best result for the sector in the last six years. The market trend - according to data provided by the Italian manufacturers' association Comagarden on the basis of the Morgan statistics group survey - is differentiated by product type, with positive trends for chainsaws (+10% to 355 thousand units sold) trimmers (+10.6% to 66 thousand units) and hedge trimmers (+8.7% to 101 thousand units)</w:t>
      </w:r>
      <w:r w:rsidR="006F4F07" w:rsidRPr="00CF0CD9">
        <w:rPr>
          <w:lang w:val="en-GB"/>
        </w:rPr>
        <w:t xml:space="preserve">, </w:t>
      </w:r>
      <w:r w:rsidRPr="00CF0CD9">
        <w:rPr>
          <w:lang w:val="en-GB"/>
        </w:rPr>
        <w:t xml:space="preserve">and negative trends for lawnmowers (-6% to 258 thousand units), while purchases of brushcutters were in line with the previous year (-0.9% to 265 thousand units). "The market for machinery and equipment for gardening and landscaping - explains Renato Cifarelli, president of Comagarden - is affected by both economic trends and climatic factors, </w:t>
      </w:r>
      <w:r w:rsidR="00CF0CD9">
        <w:rPr>
          <w:lang w:val="en-GB"/>
        </w:rPr>
        <w:t xml:space="preserve">and not just </w:t>
      </w:r>
      <w:r w:rsidRPr="00CF0CD9">
        <w:rPr>
          <w:lang w:val="en-GB"/>
        </w:rPr>
        <w:t>for vegetation". "For example, the demand for snowplough machines and equipment is linked to the snowfall</w:t>
      </w:r>
      <w:r w:rsidR="00CF0CD9">
        <w:rPr>
          <w:lang w:val="en-GB"/>
        </w:rPr>
        <w:t xml:space="preserve"> trend</w:t>
      </w:r>
      <w:r w:rsidR="00B73B5F" w:rsidRPr="00CF0CD9">
        <w:rPr>
          <w:lang w:val="en-GB"/>
        </w:rPr>
        <w:t xml:space="preserve">- </w:t>
      </w:r>
      <w:r w:rsidRPr="00CF0CD9">
        <w:rPr>
          <w:lang w:val="en-GB"/>
        </w:rPr>
        <w:t xml:space="preserve">explains Cifarelli - which in 2020 recorded a drop of 16.6% due to the mild season. In general, in our opinion, the health emergency also influenced the trend, with more people forced to stay at home and consequently forced to take care of their gardens more. </w:t>
      </w:r>
      <w:r w:rsidR="00CF0CD9">
        <w:rPr>
          <w:lang w:val="en-GB"/>
        </w:rPr>
        <w:t>T</w:t>
      </w:r>
      <w:r w:rsidRPr="00CF0CD9">
        <w:rPr>
          <w:lang w:val="en-GB"/>
        </w:rPr>
        <w:t>he strong growth in sprayers (+57%)"</w:t>
      </w:r>
      <w:r w:rsidR="00CF0CD9">
        <w:rPr>
          <w:lang w:val="en-GB"/>
        </w:rPr>
        <w:t>was a</w:t>
      </w:r>
      <w:r w:rsidR="00CF0CD9" w:rsidRPr="00CF0CD9">
        <w:rPr>
          <w:lang w:val="en-GB"/>
        </w:rPr>
        <w:t>lso linked to the emergency</w:t>
      </w:r>
      <w:r w:rsidRPr="00CF0CD9">
        <w:rPr>
          <w:lang w:val="en-GB"/>
        </w:rPr>
        <w:t>. "In this case,</w:t>
      </w:r>
      <w:r w:rsidR="00B73B5F" w:rsidRPr="00CF0CD9">
        <w:rPr>
          <w:lang w:val="en-GB"/>
        </w:rPr>
        <w:t xml:space="preserve">" </w:t>
      </w:r>
      <w:r w:rsidRPr="00CF0CD9">
        <w:rPr>
          <w:lang w:val="en-GB"/>
        </w:rPr>
        <w:t xml:space="preserve">concludes the chairman of the manufacturers, "the market trend is determined by the flexibility of the technology in question, which has been widely used to carry out the sanitisation </w:t>
      </w:r>
      <w:r w:rsidR="00CF0CD9">
        <w:rPr>
          <w:lang w:val="en-GB"/>
        </w:rPr>
        <w:t xml:space="preserve">measures </w:t>
      </w:r>
      <w:r w:rsidRPr="00CF0CD9">
        <w:rPr>
          <w:lang w:val="en-GB"/>
        </w:rPr>
        <w:t>required to combat the Covid epidemic".</w:t>
      </w:r>
    </w:p>
    <w:p w:rsidR="00A818B1" w:rsidRPr="00CF0CD9" w:rsidRDefault="00A818B1" w:rsidP="00314EC8">
      <w:pPr>
        <w:ind w:left="142"/>
        <w:jc w:val="both"/>
        <w:rPr>
          <w:lang w:val="en-GB"/>
        </w:rPr>
      </w:pPr>
    </w:p>
    <w:tbl>
      <w:tblPr>
        <w:tblW w:w="8194" w:type="dxa"/>
        <w:tblInd w:w="70" w:type="dxa"/>
        <w:tblCellMar>
          <w:left w:w="70" w:type="dxa"/>
          <w:right w:w="70" w:type="dxa"/>
        </w:tblCellMar>
        <w:tblLook w:val="04A0"/>
      </w:tblPr>
      <w:tblGrid>
        <w:gridCol w:w="3448"/>
        <w:gridCol w:w="1157"/>
        <w:gridCol w:w="1157"/>
        <w:gridCol w:w="1157"/>
        <w:gridCol w:w="1275"/>
      </w:tblGrid>
      <w:tr w:rsidR="00314EC8" w:rsidRPr="002637C5" w:rsidTr="006F4F07">
        <w:trPr>
          <w:trHeight w:val="1110"/>
        </w:trPr>
        <w:tc>
          <w:tcPr>
            <w:tcW w:w="8194" w:type="dxa"/>
            <w:gridSpan w:val="5"/>
            <w:tcBorders>
              <w:top w:val="nil"/>
              <w:left w:val="nil"/>
              <w:bottom w:val="nil"/>
              <w:right w:val="nil"/>
            </w:tcBorders>
            <w:shd w:val="clear" w:color="auto" w:fill="auto"/>
            <w:hideMark/>
          </w:tcPr>
          <w:p w:rsidR="00314EC8" w:rsidRPr="00CF0CD9" w:rsidRDefault="00A818B1">
            <w:pPr>
              <w:rPr>
                <w:rFonts w:ascii="Arial" w:hAnsi="Arial" w:cs="Arial"/>
                <w:b/>
                <w:bCs/>
                <w:color w:val="2F5597"/>
                <w:lang w:val="en-GB"/>
              </w:rPr>
            </w:pPr>
            <w:r w:rsidRPr="00CF0CD9">
              <w:rPr>
                <w:b/>
                <w:lang w:val="en-GB"/>
              </w:rPr>
              <w:t xml:space="preserve">Rome, </w:t>
            </w:r>
            <w:r w:rsidR="00314EC8" w:rsidRPr="00CF0CD9">
              <w:rPr>
                <w:b/>
                <w:lang w:val="en-GB"/>
              </w:rPr>
              <w:t xml:space="preserve">4 March </w:t>
            </w:r>
            <w:r w:rsidRPr="00CF0CD9">
              <w:rPr>
                <w:b/>
                <w:lang w:val="en-GB"/>
              </w:rPr>
              <w:t>2021</w:t>
            </w:r>
          </w:p>
          <w:p w:rsidR="00314EC8" w:rsidRPr="00CF0CD9" w:rsidRDefault="00314EC8">
            <w:pPr>
              <w:rPr>
                <w:rFonts w:ascii="Arial" w:hAnsi="Arial" w:cs="Arial"/>
                <w:b/>
                <w:bCs/>
                <w:color w:val="2F5597"/>
                <w:lang w:val="en-GB"/>
              </w:rPr>
            </w:pPr>
          </w:p>
          <w:p w:rsidR="00314EC8" w:rsidRPr="00CF0CD9" w:rsidRDefault="00314EC8">
            <w:pPr>
              <w:rPr>
                <w:rFonts w:ascii="Arial" w:hAnsi="Arial" w:cs="Arial"/>
                <w:b/>
                <w:bCs/>
                <w:color w:val="2F5597"/>
                <w:lang w:val="en-GB"/>
              </w:rPr>
            </w:pPr>
          </w:p>
          <w:p w:rsidR="00314EC8" w:rsidRPr="00CF0CD9" w:rsidRDefault="00314EC8">
            <w:pPr>
              <w:rPr>
                <w:rFonts w:ascii="Arial" w:hAnsi="Arial" w:cs="Arial"/>
                <w:b/>
                <w:bCs/>
                <w:color w:val="2F5597"/>
                <w:lang w:val="en-GB"/>
              </w:rPr>
            </w:pPr>
          </w:p>
          <w:p w:rsidR="00314EC8" w:rsidRPr="00CF0CD9" w:rsidRDefault="00314EC8">
            <w:pPr>
              <w:rPr>
                <w:rFonts w:ascii="Arial" w:hAnsi="Arial" w:cs="Arial"/>
                <w:b/>
                <w:bCs/>
                <w:color w:val="2F5597"/>
                <w:lang w:val="en-GB"/>
              </w:rPr>
            </w:pPr>
          </w:p>
          <w:p w:rsidR="00314EC8" w:rsidRPr="00CF0CD9" w:rsidRDefault="00314EC8">
            <w:pPr>
              <w:rPr>
                <w:rFonts w:ascii="Arial" w:hAnsi="Arial" w:cs="Arial"/>
                <w:b/>
                <w:bCs/>
                <w:color w:val="2F5597"/>
                <w:lang w:val="en-GB"/>
              </w:rPr>
            </w:pPr>
          </w:p>
          <w:p w:rsidR="00314EC8" w:rsidRPr="00CF0CD9" w:rsidRDefault="00314EC8">
            <w:pPr>
              <w:rPr>
                <w:rFonts w:ascii="Arial" w:hAnsi="Arial" w:cs="Arial"/>
                <w:b/>
                <w:bCs/>
                <w:color w:val="2F5597"/>
                <w:lang w:val="en-GB"/>
              </w:rPr>
            </w:pPr>
          </w:p>
          <w:p w:rsidR="00314EC8" w:rsidRPr="00CF0CD9" w:rsidRDefault="00314EC8">
            <w:pPr>
              <w:rPr>
                <w:rFonts w:ascii="Arial" w:hAnsi="Arial" w:cs="Arial"/>
                <w:b/>
                <w:bCs/>
                <w:color w:val="2F5597"/>
                <w:lang w:val="en-GB"/>
              </w:rPr>
            </w:pPr>
          </w:p>
          <w:p w:rsidR="00314EC8" w:rsidRPr="00CF0CD9" w:rsidRDefault="00314EC8">
            <w:pPr>
              <w:rPr>
                <w:rFonts w:ascii="Arial" w:hAnsi="Arial" w:cs="Arial"/>
                <w:b/>
                <w:bCs/>
                <w:color w:val="2F5597"/>
                <w:lang w:val="en-GB"/>
              </w:rPr>
            </w:pPr>
            <w:r w:rsidRPr="00CF0CD9">
              <w:rPr>
                <w:rFonts w:ascii="Arial" w:hAnsi="Arial" w:cs="Arial"/>
                <w:b/>
                <w:bCs/>
                <w:color w:val="2F5597"/>
                <w:lang w:val="en-GB"/>
              </w:rPr>
              <w:t>Italian market trends for the main types of gardening machinery 2018, 2019 and 2020 estimates, in numbers</w:t>
            </w:r>
          </w:p>
        </w:tc>
      </w:tr>
      <w:tr w:rsidR="00314EC8" w:rsidRPr="002637C5" w:rsidTr="006F4F07">
        <w:trPr>
          <w:trHeight w:val="300"/>
        </w:trPr>
        <w:tc>
          <w:tcPr>
            <w:tcW w:w="3448" w:type="dxa"/>
            <w:tcBorders>
              <w:top w:val="nil"/>
              <w:left w:val="nil"/>
              <w:bottom w:val="nil"/>
              <w:right w:val="nil"/>
            </w:tcBorders>
            <w:shd w:val="clear" w:color="auto" w:fill="auto"/>
            <w:noWrap/>
            <w:vAlign w:val="bottom"/>
            <w:hideMark/>
          </w:tcPr>
          <w:p w:rsidR="00314EC8" w:rsidRPr="00CF0CD9" w:rsidRDefault="00314EC8">
            <w:pPr>
              <w:rPr>
                <w:rFonts w:ascii="Arial" w:hAnsi="Arial" w:cs="Arial"/>
                <w:b/>
                <w:bCs/>
                <w:color w:val="2F5597"/>
                <w:lang w:val="en-GB"/>
              </w:rPr>
            </w:pPr>
          </w:p>
        </w:tc>
        <w:tc>
          <w:tcPr>
            <w:tcW w:w="1157" w:type="dxa"/>
            <w:tcBorders>
              <w:top w:val="nil"/>
              <w:left w:val="nil"/>
              <w:bottom w:val="nil"/>
              <w:right w:val="nil"/>
            </w:tcBorders>
            <w:shd w:val="clear" w:color="auto" w:fill="auto"/>
            <w:noWrap/>
            <w:vAlign w:val="bottom"/>
            <w:hideMark/>
          </w:tcPr>
          <w:p w:rsidR="00314EC8" w:rsidRPr="00CF0CD9" w:rsidRDefault="00314EC8">
            <w:pPr>
              <w:rPr>
                <w:sz w:val="20"/>
                <w:szCs w:val="20"/>
                <w:lang w:val="en-GB"/>
              </w:rPr>
            </w:pPr>
          </w:p>
        </w:tc>
        <w:tc>
          <w:tcPr>
            <w:tcW w:w="1157" w:type="dxa"/>
            <w:tcBorders>
              <w:top w:val="nil"/>
              <w:left w:val="nil"/>
              <w:bottom w:val="nil"/>
              <w:right w:val="nil"/>
            </w:tcBorders>
            <w:shd w:val="clear" w:color="auto" w:fill="auto"/>
            <w:noWrap/>
            <w:vAlign w:val="bottom"/>
            <w:hideMark/>
          </w:tcPr>
          <w:p w:rsidR="00314EC8" w:rsidRPr="00CF0CD9" w:rsidRDefault="00314EC8">
            <w:pPr>
              <w:rPr>
                <w:sz w:val="20"/>
                <w:szCs w:val="20"/>
                <w:lang w:val="en-GB"/>
              </w:rPr>
            </w:pPr>
          </w:p>
        </w:tc>
        <w:tc>
          <w:tcPr>
            <w:tcW w:w="1157" w:type="dxa"/>
            <w:tcBorders>
              <w:top w:val="nil"/>
              <w:left w:val="nil"/>
              <w:bottom w:val="nil"/>
              <w:right w:val="nil"/>
            </w:tcBorders>
            <w:shd w:val="clear" w:color="auto" w:fill="auto"/>
            <w:noWrap/>
            <w:vAlign w:val="bottom"/>
            <w:hideMark/>
          </w:tcPr>
          <w:p w:rsidR="00314EC8" w:rsidRPr="00CF0CD9" w:rsidRDefault="00314EC8">
            <w:pPr>
              <w:rPr>
                <w:sz w:val="20"/>
                <w:szCs w:val="20"/>
                <w:lang w:val="en-GB"/>
              </w:rPr>
            </w:pPr>
          </w:p>
        </w:tc>
        <w:tc>
          <w:tcPr>
            <w:tcW w:w="1275" w:type="dxa"/>
            <w:tcBorders>
              <w:top w:val="nil"/>
              <w:left w:val="nil"/>
              <w:bottom w:val="nil"/>
              <w:right w:val="nil"/>
            </w:tcBorders>
            <w:shd w:val="clear" w:color="auto" w:fill="auto"/>
            <w:noWrap/>
            <w:vAlign w:val="bottom"/>
            <w:hideMark/>
          </w:tcPr>
          <w:p w:rsidR="00314EC8" w:rsidRPr="00CF0CD9" w:rsidRDefault="00314EC8">
            <w:pPr>
              <w:rPr>
                <w:sz w:val="20"/>
                <w:szCs w:val="20"/>
                <w:lang w:val="en-GB"/>
              </w:rPr>
            </w:pPr>
          </w:p>
        </w:tc>
      </w:tr>
      <w:tr w:rsidR="00314EC8" w:rsidRPr="00CF0CD9" w:rsidTr="006F4F07">
        <w:trPr>
          <w:trHeight w:val="765"/>
        </w:trPr>
        <w:tc>
          <w:tcPr>
            <w:tcW w:w="3448" w:type="dxa"/>
            <w:tcBorders>
              <w:top w:val="single" w:sz="4" w:space="0" w:color="auto"/>
              <w:left w:val="single" w:sz="4" w:space="0" w:color="auto"/>
              <w:bottom w:val="single" w:sz="4" w:space="0" w:color="auto"/>
              <w:right w:val="nil"/>
            </w:tcBorders>
            <w:shd w:val="clear" w:color="000000" w:fill="F8CBAD"/>
            <w:noWrap/>
            <w:vAlign w:val="bottom"/>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lastRenderedPageBreak/>
              <w:t> </w:t>
            </w:r>
          </w:p>
        </w:tc>
        <w:tc>
          <w:tcPr>
            <w:tcW w:w="1157" w:type="dxa"/>
            <w:tcBorders>
              <w:top w:val="single" w:sz="4" w:space="0" w:color="333F4F"/>
              <w:left w:val="single" w:sz="4" w:space="0" w:color="333F4F"/>
              <w:bottom w:val="single" w:sz="4" w:space="0" w:color="333F4F"/>
              <w:right w:val="single" w:sz="4" w:space="0" w:color="333F4F"/>
            </w:tcBorders>
            <w:shd w:val="clear" w:color="000000" w:fill="F8CBAD"/>
            <w:vAlign w:val="center"/>
            <w:hideMark/>
          </w:tcPr>
          <w:p w:rsidR="00314EC8" w:rsidRPr="00CF0CD9" w:rsidRDefault="00314EC8">
            <w:pPr>
              <w:jc w:val="center"/>
              <w:rPr>
                <w:rFonts w:ascii="Tahoma" w:hAnsi="Tahoma" w:cs="Tahoma"/>
                <w:b/>
                <w:bCs/>
                <w:color w:val="203764"/>
                <w:sz w:val="20"/>
                <w:szCs w:val="20"/>
                <w:lang w:val="en-GB"/>
              </w:rPr>
            </w:pPr>
            <w:r w:rsidRPr="00CF0CD9">
              <w:rPr>
                <w:rFonts w:ascii="Tahoma" w:hAnsi="Tahoma" w:cs="Tahoma"/>
                <w:b/>
                <w:bCs/>
                <w:color w:val="203764"/>
                <w:sz w:val="20"/>
                <w:szCs w:val="20"/>
                <w:lang w:val="en-GB"/>
              </w:rPr>
              <w:t>2018</w:t>
            </w:r>
          </w:p>
        </w:tc>
        <w:tc>
          <w:tcPr>
            <w:tcW w:w="1157" w:type="dxa"/>
            <w:tcBorders>
              <w:top w:val="single" w:sz="4" w:space="0" w:color="333F4F"/>
              <w:left w:val="nil"/>
              <w:bottom w:val="single" w:sz="4" w:space="0" w:color="333F4F"/>
              <w:right w:val="single" w:sz="4" w:space="0" w:color="333F4F"/>
            </w:tcBorders>
            <w:shd w:val="clear" w:color="000000" w:fill="F8CBAD"/>
            <w:vAlign w:val="center"/>
            <w:hideMark/>
          </w:tcPr>
          <w:p w:rsidR="00314EC8" w:rsidRPr="00CF0CD9" w:rsidRDefault="00314EC8">
            <w:pPr>
              <w:jc w:val="center"/>
              <w:rPr>
                <w:rFonts w:ascii="Tahoma" w:hAnsi="Tahoma" w:cs="Tahoma"/>
                <w:b/>
                <w:bCs/>
                <w:color w:val="203764"/>
                <w:sz w:val="20"/>
                <w:szCs w:val="20"/>
                <w:lang w:val="en-GB"/>
              </w:rPr>
            </w:pPr>
            <w:r w:rsidRPr="00CF0CD9">
              <w:rPr>
                <w:rFonts w:ascii="Tahoma" w:hAnsi="Tahoma" w:cs="Tahoma"/>
                <w:b/>
                <w:bCs/>
                <w:color w:val="203764"/>
                <w:sz w:val="20"/>
                <w:szCs w:val="20"/>
                <w:lang w:val="en-GB"/>
              </w:rPr>
              <w:t>2019</w:t>
            </w:r>
          </w:p>
        </w:tc>
        <w:tc>
          <w:tcPr>
            <w:tcW w:w="1157" w:type="dxa"/>
            <w:tcBorders>
              <w:top w:val="single" w:sz="4" w:space="0" w:color="333F4F"/>
              <w:left w:val="nil"/>
              <w:bottom w:val="single" w:sz="4" w:space="0" w:color="333F4F"/>
              <w:right w:val="single" w:sz="4" w:space="0" w:color="333F4F"/>
            </w:tcBorders>
            <w:shd w:val="clear" w:color="000000" w:fill="F8CBAD"/>
            <w:vAlign w:val="center"/>
            <w:hideMark/>
          </w:tcPr>
          <w:p w:rsidR="00314EC8" w:rsidRPr="00CF0CD9" w:rsidRDefault="00314EC8">
            <w:pPr>
              <w:jc w:val="center"/>
              <w:rPr>
                <w:rFonts w:ascii="Tahoma" w:hAnsi="Tahoma" w:cs="Tahoma"/>
                <w:b/>
                <w:bCs/>
                <w:color w:val="203764"/>
                <w:sz w:val="20"/>
                <w:szCs w:val="20"/>
                <w:lang w:val="en-GB"/>
              </w:rPr>
            </w:pPr>
            <w:r w:rsidRPr="00CF0CD9">
              <w:rPr>
                <w:rFonts w:ascii="Tahoma" w:hAnsi="Tahoma" w:cs="Tahoma"/>
                <w:b/>
                <w:bCs/>
                <w:color w:val="203764"/>
                <w:sz w:val="20"/>
                <w:szCs w:val="20"/>
                <w:lang w:val="en-GB"/>
              </w:rPr>
              <w:t>2020</w:t>
            </w:r>
          </w:p>
        </w:tc>
        <w:tc>
          <w:tcPr>
            <w:tcW w:w="1275" w:type="dxa"/>
            <w:tcBorders>
              <w:top w:val="single" w:sz="4" w:space="0" w:color="333F4F"/>
              <w:left w:val="nil"/>
              <w:bottom w:val="single" w:sz="4" w:space="0" w:color="333F4F"/>
              <w:right w:val="single" w:sz="4" w:space="0" w:color="333F4F"/>
            </w:tcBorders>
            <w:shd w:val="clear" w:color="000000" w:fill="F8CBAD"/>
            <w:vAlign w:val="center"/>
            <w:hideMark/>
          </w:tcPr>
          <w:p w:rsidR="00314EC8" w:rsidRPr="00CF0CD9" w:rsidRDefault="00314EC8">
            <w:pPr>
              <w:jc w:val="center"/>
              <w:rPr>
                <w:rFonts w:ascii="Tahoma" w:hAnsi="Tahoma" w:cs="Tahoma"/>
                <w:b/>
                <w:bCs/>
                <w:color w:val="203764"/>
                <w:sz w:val="20"/>
                <w:szCs w:val="20"/>
                <w:lang w:val="en-GB"/>
              </w:rPr>
            </w:pPr>
            <w:r w:rsidRPr="00CF0CD9">
              <w:rPr>
                <w:rFonts w:ascii="Tahoma" w:hAnsi="Tahoma" w:cs="Tahoma"/>
                <w:b/>
                <w:bCs/>
                <w:color w:val="203764"/>
                <w:sz w:val="20"/>
                <w:szCs w:val="20"/>
                <w:lang w:val="en-GB"/>
              </w:rPr>
              <w:t>Var. % 2020/2019</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t>LAWNMOWER</w:t>
            </w:r>
            <w:r w:rsidR="00CF0CD9">
              <w:rPr>
                <w:rFonts w:ascii="Tahoma" w:hAnsi="Tahoma" w:cs="Tahoma"/>
                <w:b/>
                <w:bCs/>
                <w:color w:val="203764"/>
                <w:sz w:val="20"/>
                <w:szCs w:val="20"/>
                <w:lang w:val="en-GB"/>
              </w:rPr>
              <w:t>S</w:t>
            </w:r>
          </w:p>
        </w:tc>
        <w:tc>
          <w:tcPr>
            <w:tcW w:w="1157" w:type="dxa"/>
            <w:tcBorders>
              <w:top w:val="nil"/>
              <w:left w:val="single" w:sz="4" w:space="0" w:color="333F4F"/>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278.149</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274.844</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258.125</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-6,1%</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t>POWER SAWS</w:t>
            </w:r>
          </w:p>
        </w:tc>
        <w:tc>
          <w:tcPr>
            <w:tcW w:w="1157" w:type="dxa"/>
            <w:tcBorders>
              <w:top w:val="nil"/>
              <w:left w:val="single" w:sz="4" w:space="0" w:color="333F4F"/>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335.108</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322.196</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354.593</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10,1%</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t>BRUSHCUTTERS</w:t>
            </w:r>
          </w:p>
        </w:tc>
        <w:tc>
          <w:tcPr>
            <w:tcW w:w="1157" w:type="dxa"/>
            <w:tcBorders>
              <w:top w:val="nil"/>
              <w:left w:val="single" w:sz="4" w:space="0" w:color="333F4F"/>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266.296</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267.943</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265.470</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-0,9%</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t>TRIMMER</w:t>
            </w:r>
          </w:p>
        </w:tc>
        <w:tc>
          <w:tcPr>
            <w:tcW w:w="1157" w:type="dxa"/>
            <w:tcBorders>
              <w:top w:val="nil"/>
              <w:left w:val="single" w:sz="4" w:space="0" w:color="333F4F"/>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58.662</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59.737</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66.079</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10,6%</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t>BLOWERS/</w:t>
            </w:r>
            <w:r w:rsidR="00CF0CD9">
              <w:rPr>
                <w:rFonts w:ascii="Tahoma" w:hAnsi="Tahoma" w:cs="Tahoma"/>
                <w:b/>
                <w:bCs/>
                <w:color w:val="203764"/>
                <w:sz w:val="20"/>
                <w:szCs w:val="20"/>
                <w:lang w:val="en-GB"/>
              </w:rPr>
              <w:t>VACCU</w:t>
            </w:r>
            <w:r w:rsidR="00036212">
              <w:rPr>
                <w:rFonts w:ascii="Tahoma" w:hAnsi="Tahoma" w:cs="Tahoma"/>
                <w:b/>
                <w:bCs/>
                <w:color w:val="203764"/>
                <w:sz w:val="20"/>
                <w:szCs w:val="20"/>
                <w:lang w:val="en-GB"/>
              </w:rPr>
              <w:t>U</w:t>
            </w:r>
            <w:r w:rsidR="00CF0CD9">
              <w:rPr>
                <w:rFonts w:ascii="Tahoma" w:hAnsi="Tahoma" w:cs="Tahoma"/>
                <w:b/>
                <w:bCs/>
                <w:color w:val="203764"/>
                <w:sz w:val="20"/>
                <w:szCs w:val="20"/>
                <w:lang w:val="en-GB"/>
              </w:rPr>
              <w:t>MS</w:t>
            </w:r>
          </w:p>
        </w:tc>
        <w:tc>
          <w:tcPr>
            <w:tcW w:w="1157" w:type="dxa"/>
            <w:tcBorders>
              <w:top w:val="nil"/>
              <w:left w:val="single" w:sz="4" w:space="0" w:color="333F4F"/>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104.535</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102.902</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112.017</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8,9%</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t>SHREDDERS</w:t>
            </w:r>
          </w:p>
        </w:tc>
        <w:tc>
          <w:tcPr>
            <w:tcW w:w="1157" w:type="dxa"/>
            <w:tcBorders>
              <w:top w:val="nil"/>
              <w:left w:val="single" w:sz="4" w:space="0" w:color="333F4F"/>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6.709</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7.239</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8.057</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11,3%</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t>MOTOR HOES</w:t>
            </w:r>
          </w:p>
        </w:tc>
        <w:tc>
          <w:tcPr>
            <w:tcW w:w="1157" w:type="dxa"/>
            <w:tcBorders>
              <w:top w:val="nil"/>
              <w:left w:val="single" w:sz="4" w:space="0" w:color="333F4F"/>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28.611</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28.128</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30.302</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7,7%</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t>HEDGE TRIMMER</w:t>
            </w:r>
            <w:r w:rsidR="00036212">
              <w:rPr>
                <w:rFonts w:ascii="Tahoma" w:hAnsi="Tahoma" w:cs="Tahoma"/>
                <w:b/>
                <w:bCs/>
                <w:color w:val="203764"/>
                <w:sz w:val="20"/>
                <w:szCs w:val="20"/>
                <w:lang w:val="en-GB"/>
              </w:rPr>
              <w:t>S</w:t>
            </w:r>
          </w:p>
        </w:tc>
        <w:tc>
          <w:tcPr>
            <w:tcW w:w="1157" w:type="dxa"/>
            <w:tcBorders>
              <w:top w:val="nil"/>
              <w:left w:val="single" w:sz="4" w:space="0" w:color="333F4F"/>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92.587</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93.176</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101.288</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8,7%</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t>SNOWPLOUGH</w:t>
            </w:r>
            <w:r w:rsidR="00036212">
              <w:rPr>
                <w:rFonts w:ascii="Tahoma" w:hAnsi="Tahoma" w:cs="Tahoma"/>
                <w:b/>
                <w:bCs/>
                <w:color w:val="203764"/>
                <w:sz w:val="20"/>
                <w:szCs w:val="20"/>
                <w:lang w:val="en-GB"/>
              </w:rPr>
              <w:t>S</w:t>
            </w:r>
          </w:p>
        </w:tc>
        <w:tc>
          <w:tcPr>
            <w:tcW w:w="1157" w:type="dxa"/>
            <w:tcBorders>
              <w:top w:val="nil"/>
              <w:left w:val="single" w:sz="4" w:space="0" w:color="333F4F"/>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5.019</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4.838</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4.035</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-16,6%</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t>SCARIFIERS</w:t>
            </w:r>
          </w:p>
        </w:tc>
        <w:tc>
          <w:tcPr>
            <w:tcW w:w="1157" w:type="dxa"/>
            <w:tcBorders>
              <w:top w:val="nil"/>
              <w:left w:val="single" w:sz="4" w:space="0" w:color="333F4F"/>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8.462</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8.903</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9.489</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6,6%</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t>POLE PRUNERS</w:t>
            </w:r>
          </w:p>
        </w:tc>
        <w:tc>
          <w:tcPr>
            <w:tcW w:w="1157" w:type="dxa"/>
            <w:tcBorders>
              <w:top w:val="nil"/>
              <w:left w:val="single" w:sz="4" w:space="0" w:color="333F4F"/>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9.577</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11.663</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14.787</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26,8%</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t xml:space="preserve">TRACTORS </w:t>
            </w:r>
          </w:p>
        </w:tc>
        <w:tc>
          <w:tcPr>
            <w:tcW w:w="1157" w:type="dxa"/>
            <w:tcBorders>
              <w:top w:val="nil"/>
              <w:left w:val="single" w:sz="4" w:space="0" w:color="333F4F"/>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21.788</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25.993</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23.324</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-10,3%</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t>ZERO TURN Consumer</w:t>
            </w:r>
          </w:p>
        </w:tc>
        <w:tc>
          <w:tcPr>
            <w:tcW w:w="1157" w:type="dxa"/>
            <w:tcBorders>
              <w:top w:val="nil"/>
              <w:left w:val="single" w:sz="4" w:space="0" w:color="333F4F"/>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1.188</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1.280</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1.491</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16,5%</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t>ZERO TURN MMV</w:t>
            </w:r>
          </w:p>
        </w:tc>
        <w:tc>
          <w:tcPr>
            <w:tcW w:w="1157" w:type="dxa"/>
            <w:tcBorders>
              <w:top w:val="nil"/>
              <w:left w:val="single" w:sz="4" w:space="0" w:color="333F4F"/>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938</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1.079</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805</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-25,4%</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t>RIDE-ON Consumer</w:t>
            </w:r>
          </w:p>
        </w:tc>
        <w:tc>
          <w:tcPr>
            <w:tcW w:w="1157" w:type="dxa"/>
            <w:tcBorders>
              <w:top w:val="nil"/>
              <w:left w:val="single" w:sz="4" w:space="0" w:color="333F4F"/>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9.284</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9.820</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8.828</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-10,1%</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t>RIDE-ON MMV</w:t>
            </w:r>
          </w:p>
        </w:tc>
        <w:tc>
          <w:tcPr>
            <w:tcW w:w="1157" w:type="dxa"/>
            <w:tcBorders>
              <w:top w:val="nil"/>
              <w:left w:val="single" w:sz="4" w:space="0" w:color="333F4F"/>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3.300</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3.318</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1.635</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-50,7%</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036212">
            <w:pPr>
              <w:rPr>
                <w:rFonts w:ascii="Tahoma" w:hAnsi="Tahoma" w:cs="Tahoma"/>
                <w:b/>
                <w:bCs/>
                <w:color w:val="203764"/>
                <w:sz w:val="20"/>
                <w:szCs w:val="20"/>
                <w:lang w:val="en-GB"/>
              </w:rPr>
            </w:pPr>
            <w:r>
              <w:rPr>
                <w:rFonts w:ascii="Tahoma" w:hAnsi="Tahoma" w:cs="Tahoma"/>
                <w:b/>
                <w:bCs/>
                <w:color w:val="203764"/>
                <w:sz w:val="20"/>
                <w:szCs w:val="20"/>
                <w:lang w:val="en-GB"/>
              </w:rPr>
              <w:t>SPRAYERS</w:t>
            </w:r>
          </w:p>
        </w:tc>
        <w:tc>
          <w:tcPr>
            <w:tcW w:w="1157" w:type="dxa"/>
            <w:tcBorders>
              <w:top w:val="nil"/>
              <w:left w:val="single" w:sz="4" w:space="0" w:color="333F4F"/>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4.410</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4.634</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7.278</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57,1%</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036212">
            <w:pPr>
              <w:rPr>
                <w:rFonts w:ascii="Tahoma" w:hAnsi="Tahoma" w:cs="Tahoma"/>
                <w:b/>
                <w:bCs/>
                <w:color w:val="203764"/>
                <w:sz w:val="20"/>
                <w:szCs w:val="20"/>
                <w:lang w:val="en-GB"/>
              </w:rPr>
            </w:pPr>
            <w:r w:rsidRPr="00CF0CD9">
              <w:rPr>
                <w:rFonts w:ascii="Tahoma" w:hAnsi="Tahoma" w:cs="Tahoma"/>
                <w:b/>
                <w:bCs/>
                <w:color w:val="203764"/>
                <w:sz w:val="20"/>
                <w:szCs w:val="20"/>
                <w:lang w:val="en-GB"/>
              </w:rPr>
              <w:t>ROBOT</w:t>
            </w:r>
            <w:r w:rsidR="00314EC8" w:rsidRPr="00CF0CD9">
              <w:rPr>
                <w:rFonts w:ascii="Tahoma" w:hAnsi="Tahoma" w:cs="Tahoma"/>
                <w:b/>
                <w:bCs/>
                <w:color w:val="203764"/>
                <w:sz w:val="20"/>
                <w:szCs w:val="20"/>
                <w:lang w:val="en-GB"/>
              </w:rPr>
              <w:t>LAWNMOWER</w:t>
            </w:r>
            <w:r>
              <w:rPr>
                <w:rFonts w:ascii="Tahoma" w:hAnsi="Tahoma" w:cs="Tahoma"/>
                <w:b/>
                <w:bCs/>
                <w:color w:val="203764"/>
                <w:sz w:val="20"/>
                <w:szCs w:val="20"/>
                <w:lang w:val="en-GB"/>
              </w:rPr>
              <w:t>S</w:t>
            </w:r>
          </w:p>
        </w:tc>
        <w:tc>
          <w:tcPr>
            <w:tcW w:w="1157" w:type="dxa"/>
            <w:tcBorders>
              <w:top w:val="nil"/>
              <w:left w:val="single" w:sz="4" w:space="0" w:color="333F4F"/>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22.158</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25.994</w:t>
            </w:r>
          </w:p>
        </w:tc>
        <w:tc>
          <w:tcPr>
            <w:tcW w:w="1157"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26.245</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1,0%</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auto" w:fill="auto"/>
            <w:noWrap/>
            <w:vAlign w:val="bottom"/>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t>BATTERY-POWERED SCISSORS</w:t>
            </w:r>
          </w:p>
        </w:tc>
        <w:tc>
          <w:tcPr>
            <w:tcW w:w="1157" w:type="dxa"/>
            <w:tcBorders>
              <w:top w:val="nil"/>
              <w:left w:val="single" w:sz="4" w:space="0" w:color="333F4F"/>
              <w:bottom w:val="nil"/>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20.865</w:t>
            </w:r>
          </w:p>
        </w:tc>
        <w:tc>
          <w:tcPr>
            <w:tcW w:w="1157" w:type="dxa"/>
            <w:tcBorders>
              <w:top w:val="nil"/>
              <w:left w:val="nil"/>
              <w:bottom w:val="nil"/>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22.374</w:t>
            </w:r>
          </w:p>
        </w:tc>
        <w:tc>
          <w:tcPr>
            <w:tcW w:w="1157" w:type="dxa"/>
            <w:tcBorders>
              <w:top w:val="nil"/>
              <w:left w:val="nil"/>
              <w:bottom w:val="nil"/>
              <w:right w:val="single" w:sz="4" w:space="0" w:color="333F4F"/>
            </w:tcBorders>
            <w:shd w:val="clear" w:color="auto" w:fill="auto"/>
            <w:noWrap/>
            <w:vAlign w:val="bottom"/>
            <w:hideMark/>
          </w:tcPr>
          <w:p w:rsidR="00314EC8" w:rsidRPr="00CF0CD9" w:rsidRDefault="00314EC8">
            <w:pPr>
              <w:jc w:val="right"/>
              <w:rPr>
                <w:rFonts w:ascii="Helv" w:hAnsi="Helv" w:cs="Calibri"/>
                <w:color w:val="203764"/>
                <w:sz w:val="20"/>
                <w:szCs w:val="20"/>
                <w:lang w:val="en-GB"/>
              </w:rPr>
            </w:pPr>
            <w:r w:rsidRPr="00CF0CD9">
              <w:rPr>
                <w:rFonts w:ascii="Helv" w:hAnsi="Helv" w:cs="Calibri"/>
                <w:color w:val="203764"/>
                <w:sz w:val="20"/>
                <w:szCs w:val="20"/>
                <w:lang w:val="en-GB"/>
              </w:rPr>
              <w:t>24.114</w:t>
            </w:r>
          </w:p>
        </w:tc>
        <w:tc>
          <w:tcPr>
            <w:tcW w:w="1275" w:type="dxa"/>
            <w:tcBorders>
              <w:top w:val="nil"/>
              <w:left w:val="nil"/>
              <w:bottom w:val="single" w:sz="4" w:space="0" w:color="333F4F"/>
              <w:right w:val="single" w:sz="4" w:space="0" w:color="333F4F"/>
            </w:tcBorders>
            <w:shd w:val="clear" w:color="auto" w:fill="auto"/>
            <w:noWrap/>
            <w:vAlign w:val="bottom"/>
            <w:hideMark/>
          </w:tcPr>
          <w:p w:rsidR="00314EC8" w:rsidRPr="00CF0CD9" w:rsidRDefault="00314EC8">
            <w:pPr>
              <w:jc w:val="right"/>
              <w:rPr>
                <w:rFonts w:ascii="Tahoma" w:hAnsi="Tahoma" w:cs="Tahoma"/>
                <w:color w:val="203764"/>
                <w:sz w:val="20"/>
                <w:szCs w:val="20"/>
                <w:lang w:val="en-GB"/>
              </w:rPr>
            </w:pPr>
            <w:r w:rsidRPr="00CF0CD9">
              <w:rPr>
                <w:rFonts w:ascii="Tahoma" w:hAnsi="Tahoma" w:cs="Tahoma"/>
                <w:color w:val="203764"/>
                <w:sz w:val="20"/>
                <w:szCs w:val="20"/>
                <w:lang w:val="en-GB"/>
              </w:rPr>
              <w:t>7,8%</w:t>
            </w:r>
          </w:p>
        </w:tc>
      </w:tr>
      <w:tr w:rsidR="00314EC8" w:rsidRPr="00CF0CD9" w:rsidTr="006F4F07">
        <w:trPr>
          <w:trHeight w:val="300"/>
        </w:trPr>
        <w:tc>
          <w:tcPr>
            <w:tcW w:w="3448" w:type="dxa"/>
            <w:tcBorders>
              <w:top w:val="nil"/>
              <w:left w:val="single" w:sz="4" w:space="0" w:color="auto"/>
              <w:bottom w:val="single" w:sz="4" w:space="0" w:color="auto"/>
              <w:right w:val="nil"/>
            </w:tcBorders>
            <w:shd w:val="clear" w:color="000000" w:fill="F8CBAD"/>
            <w:noWrap/>
            <w:vAlign w:val="center"/>
            <w:hideMark/>
          </w:tcPr>
          <w:p w:rsidR="00314EC8" w:rsidRPr="00CF0CD9" w:rsidRDefault="00314EC8">
            <w:pPr>
              <w:rPr>
                <w:rFonts w:ascii="Tahoma" w:hAnsi="Tahoma" w:cs="Tahoma"/>
                <w:b/>
                <w:bCs/>
                <w:color w:val="203764"/>
                <w:sz w:val="20"/>
                <w:szCs w:val="20"/>
                <w:lang w:val="en-GB"/>
              </w:rPr>
            </w:pPr>
            <w:r w:rsidRPr="00CF0CD9">
              <w:rPr>
                <w:rFonts w:ascii="Tahoma" w:hAnsi="Tahoma" w:cs="Tahoma"/>
                <w:b/>
                <w:bCs/>
                <w:color w:val="203764"/>
                <w:sz w:val="20"/>
                <w:szCs w:val="20"/>
                <w:lang w:val="en-GB"/>
              </w:rPr>
              <w:t>TOTAL MORGAN</w:t>
            </w:r>
          </w:p>
        </w:tc>
        <w:tc>
          <w:tcPr>
            <w:tcW w:w="1157" w:type="dxa"/>
            <w:tcBorders>
              <w:top w:val="single" w:sz="4" w:space="0" w:color="333F4F"/>
              <w:left w:val="single" w:sz="4" w:space="0" w:color="333F4F"/>
              <w:bottom w:val="single" w:sz="4" w:space="0" w:color="auto"/>
              <w:right w:val="single" w:sz="4" w:space="0" w:color="333F4F"/>
            </w:tcBorders>
            <w:shd w:val="clear" w:color="000000" w:fill="F8CBAD"/>
            <w:vAlign w:val="center"/>
            <w:hideMark/>
          </w:tcPr>
          <w:p w:rsidR="00314EC8" w:rsidRPr="00CF0CD9" w:rsidRDefault="00314EC8">
            <w:pPr>
              <w:jc w:val="right"/>
              <w:rPr>
                <w:rFonts w:ascii="Tahoma" w:hAnsi="Tahoma" w:cs="Tahoma"/>
                <w:b/>
                <w:bCs/>
                <w:color w:val="203764"/>
                <w:sz w:val="20"/>
                <w:szCs w:val="20"/>
                <w:lang w:val="en-GB"/>
              </w:rPr>
            </w:pPr>
            <w:r w:rsidRPr="00CF0CD9">
              <w:rPr>
                <w:rFonts w:ascii="Tahoma" w:hAnsi="Tahoma" w:cs="Tahoma"/>
                <w:b/>
                <w:bCs/>
                <w:color w:val="203764"/>
                <w:sz w:val="20"/>
                <w:szCs w:val="20"/>
                <w:lang w:val="en-GB"/>
              </w:rPr>
              <w:t>1.277.646</w:t>
            </w:r>
          </w:p>
        </w:tc>
        <w:tc>
          <w:tcPr>
            <w:tcW w:w="1157" w:type="dxa"/>
            <w:tcBorders>
              <w:top w:val="single" w:sz="4" w:space="0" w:color="333F4F"/>
              <w:left w:val="nil"/>
              <w:bottom w:val="single" w:sz="4" w:space="0" w:color="auto"/>
              <w:right w:val="single" w:sz="4" w:space="0" w:color="333F4F"/>
            </w:tcBorders>
            <w:shd w:val="clear" w:color="000000" w:fill="F8CBAD"/>
            <w:vAlign w:val="center"/>
            <w:hideMark/>
          </w:tcPr>
          <w:p w:rsidR="00314EC8" w:rsidRPr="00CF0CD9" w:rsidRDefault="00314EC8">
            <w:pPr>
              <w:jc w:val="right"/>
              <w:rPr>
                <w:rFonts w:ascii="Tahoma" w:hAnsi="Tahoma" w:cs="Tahoma"/>
                <w:b/>
                <w:bCs/>
                <w:color w:val="203764"/>
                <w:sz w:val="20"/>
                <w:szCs w:val="20"/>
                <w:lang w:val="en-GB"/>
              </w:rPr>
            </w:pPr>
            <w:r w:rsidRPr="00CF0CD9">
              <w:rPr>
                <w:rFonts w:ascii="Tahoma" w:hAnsi="Tahoma" w:cs="Tahoma"/>
                <w:b/>
                <w:bCs/>
                <w:color w:val="203764"/>
                <w:sz w:val="20"/>
                <w:szCs w:val="20"/>
                <w:lang w:val="en-GB"/>
              </w:rPr>
              <w:t>1.276.061</w:t>
            </w:r>
          </w:p>
        </w:tc>
        <w:tc>
          <w:tcPr>
            <w:tcW w:w="1157" w:type="dxa"/>
            <w:tcBorders>
              <w:top w:val="single" w:sz="4" w:space="0" w:color="333F4F"/>
              <w:left w:val="nil"/>
              <w:bottom w:val="single" w:sz="4" w:space="0" w:color="auto"/>
              <w:right w:val="single" w:sz="4" w:space="0" w:color="333F4F"/>
            </w:tcBorders>
            <w:shd w:val="clear" w:color="000000" w:fill="F8CBAD"/>
            <w:vAlign w:val="center"/>
            <w:hideMark/>
          </w:tcPr>
          <w:p w:rsidR="00314EC8" w:rsidRPr="00CF0CD9" w:rsidRDefault="00314EC8">
            <w:pPr>
              <w:jc w:val="right"/>
              <w:rPr>
                <w:rFonts w:ascii="Tahoma" w:hAnsi="Tahoma" w:cs="Tahoma"/>
                <w:b/>
                <w:bCs/>
                <w:color w:val="203764"/>
                <w:sz w:val="20"/>
                <w:szCs w:val="20"/>
                <w:lang w:val="en-GB"/>
              </w:rPr>
            </w:pPr>
            <w:r w:rsidRPr="00CF0CD9">
              <w:rPr>
                <w:rFonts w:ascii="Tahoma" w:hAnsi="Tahoma" w:cs="Tahoma"/>
                <w:b/>
                <w:bCs/>
                <w:color w:val="203764"/>
                <w:sz w:val="20"/>
                <w:szCs w:val="20"/>
                <w:lang w:val="en-GB"/>
              </w:rPr>
              <w:t>1.317.962</w:t>
            </w:r>
          </w:p>
        </w:tc>
        <w:tc>
          <w:tcPr>
            <w:tcW w:w="1275" w:type="dxa"/>
            <w:tcBorders>
              <w:top w:val="nil"/>
              <w:left w:val="nil"/>
              <w:bottom w:val="single" w:sz="4" w:space="0" w:color="auto"/>
              <w:right w:val="single" w:sz="4" w:space="0" w:color="333F4F"/>
            </w:tcBorders>
            <w:shd w:val="clear" w:color="000000" w:fill="F8CBAD"/>
            <w:vAlign w:val="center"/>
            <w:hideMark/>
          </w:tcPr>
          <w:p w:rsidR="00314EC8" w:rsidRPr="00CF0CD9" w:rsidRDefault="00314EC8">
            <w:pPr>
              <w:jc w:val="right"/>
              <w:rPr>
                <w:rFonts w:ascii="Tahoma" w:hAnsi="Tahoma" w:cs="Tahoma"/>
                <w:b/>
                <w:bCs/>
                <w:color w:val="203764"/>
                <w:sz w:val="20"/>
                <w:szCs w:val="20"/>
                <w:lang w:val="en-GB"/>
              </w:rPr>
            </w:pPr>
            <w:r w:rsidRPr="00CF0CD9">
              <w:rPr>
                <w:rFonts w:ascii="Tahoma" w:hAnsi="Tahoma" w:cs="Tahoma"/>
                <w:b/>
                <w:bCs/>
                <w:color w:val="203764"/>
                <w:sz w:val="20"/>
                <w:szCs w:val="20"/>
                <w:lang w:val="en-GB"/>
              </w:rPr>
              <w:t>3,3%</w:t>
            </w:r>
          </w:p>
        </w:tc>
      </w:tr>
    </w:tbl>
    <w:p w:rsidR="003C4F93" w:rsidRPr="00CF0CD9" w:rsidRDefault="003C4F93" w:rsidP="00A818B1">
      <w:pPr>
        <w:spacing w:after="200" w:line="276" w:lineRule="auto"/>
        <w:ind w:left="284"/>
        <w:jc w:val="center"/>
        <w:rPr>
          <w:rFonts w:ascii="Tahoma" w:eastAsia="Calibri" w:hAnsi="Tahoma" w:cs="Tahoma"/>
          <w:b/>
          <w:color w:val="244061"/>
          <w:lang w:val="en-GB" w:eastAsia="en-US"/>
        </w:rPr>
      </w:pPr>
    </w:p>
    <w:sectPr w:rsidR="003C4F93" w:rsidRPr="00CF0CD9" w:rsidSect="00AA2F49">
      <w:headerReference w:type="default" r:id="rId7"/>
      <w:footerReference w:type="default" r:id="rId8"/>
      <w:headerReference w:type="first" r:id="rId9"/>
      <w:footerReference w:type="first" r:id="rId10"/>
      <w:type w:val="continuous"/>
      <w:pgSz w:w="11906" w:h="16838" w:code="9"/>
      <w:pgMar w:top="1843" w:right="851" w:bottom="709" w:left="3119"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9BF" w:rsidRDefault="009A09BF">
      <w:r>
        <w:separator/>
      </w:r>
    </w:p>
  </w:endnote>
  <w:endnote w:type="continuationSeparator" w:id="1">
    <w:p w:rsidR="009A09BF" w:rsidRDefault="009A0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D5" w:rsidRDefault="000B4A9A">
    <w:pPr>
      <w:pStyle w:val="Pidipagina"/>
      <w:jc w:val="right"/>
    </w:pPr>
    <w:r>
      <w:fldChar w:fldCharType="begin"/>
    </w:r>
    <w:r w:rsidR="00223CD5">
      <w:instrText>PAGE   \* MERGEFORMAT</w:instrText>
    </w:r>
    <w:r>
      <w:fldChar w:fldCharType="separate"/>
    </w:r>
    <w:r w:rsidR="005452A8">
      <w:rPr>
        <w:noProof/>
      </w:rPr>
      <w:t>2</w:t>
    </w:r>
    <w:r>
      <w:fldChar w:fldCharType="end"/>
    </w:r>
  </w:p>
  <w:p w:rsidR="00223CD5" w:rsidRDefault="00223CD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CA" w:rsidRDefault="000B4A9A">
    <w:pPr>
      <w:pStyle w:val="Pidipagina"/>
      <w:jc w:val="right"/>
    </w:pPr>
    <w:r>
      <w:fldChar w:fldCharType="begin"/>
    </w:r>
    <w:r w:rsidR="00273DCA">
      <w:instrText>PAGE   \* MERGEFORMAT</w:instrText>
    </w:r>
    <w:r>
      <w:fldChar w:fldCharType="separate"/>
    </w:r>
    <w:r w:rsidR="002637C5">
      <w:rPr>
        <w:noProof/>
      </w:rPr>
      <w:t>1</w:t>
    </w:r>
    <w:r>
      <w:fldChar w:fldCharType="end"/>
    </w:r>
  </w:p>
  <w:p w:rsidR="00273DCA" w:rsidRDefault="00273DC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9BF" w:rsidRDefault="009A09BF">
      <w:r>
        <w:separator/>
      </w:r>
    </w:p>
  </w:footnote>
  <w:footnote w:type="continuationSeparator" w:id="1">
    <w:p w:rsidR="009A09BF" w:rsidRDefault="009A0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3E" w:rsidRDefault="000B4A9A">
    <w:pPr>
      <w:pStyle w:val="Intestazione"/>
    </w:pPr>
    <w:r w:rsidRPr="000B4A9A">
      <w:rPr>
        <w:noProof/>
      </w:rPr>
      <w:pict>
        <v:group id="Gruppo 70" o:spid="_x0000_s2051" alt="" style="position:absolute;margin-left:554.8pt;margin-top:168.4pt;width:38.45pt;height:18.7pt;z-index:251656704;mso-position-horizontal-relative:page;mso-position-vertical-relative:page" coordorigin="689,3255" coordsize="769,374" o:allowincell="f">
          <v:shapetype id="_x0000_t202" coordsize="21600,21600" o:spt="202" path="m,l,21600r21600,l21600,xe">
            <v:stroke joinstyle="miter"/>
            <v:path gradientshapeok="t" o:connecttype="rect"/>
          </v:shapetype>
          <v:shape id="Text Box 71" o:spid="_x0000_s2052" type="#_x0000_t202" alt="" style="position:absolute;left:689;top:3263;width:769;height:360;visibility:visible;v-text-anchor:middle" filled="f" stroked="f">
            <v:textbox inset="0,0,0,0">
              <w:txbxContent>
                <w:p w:rsidR="001F2B3A" w:rsidRDefault="000B4A9A">
                  <w:pPr>
                    <w:pStyle w:val="Intestazione"/>
                    <w:jc w:val="center"/>
                  </w:pPr>
                  <w:r w:rsidRPr="000B4A9A">
                    <w:rPr>
                      <w:sz w:val="22"/>
                      <w:szCs w:val="22"/>
                    </w:rPr>
                    <w:fldChar w:fldCharType="begin"/>
                  </w:r>
                  <w:r w:rsidR="001F2B3A">
                    <w:instrText>PAGE    \* MERGEFORMAT</w:instrText>
                  </w:r>
                  <w:r w:rsidRPr="000B4A9A">
                    <w:rPr>
                      <w:sz w:val="22"/>
                      <w:szCs w:val="22"/>
                    </w:rPr>
                    <w:fldChar w:fldCharType="separate"/>
                  </w:r>
                  <w:r w:rsidR="005452A8" w:rsidRPr="005452A8">
                    <w:rPr>
                      <w:rStyle w:val="Numeropagina"/>
                      <w:b/>
                      <w:bCs/>
                      <w:noProof/>
                      <w:color w:val="403152"/>
                      <w:sz w:val="16"/>
                      <w:szCs w:val="16"/>
                    </w:rPr>
                    <w:t>2</w:t>
                  </w:r>
                  <w:r w:rsidRPr="001F2B3A">
                    <w:rPr>
                      <w:rStyle w:val="Numeropagina"/>
                      <w:b/>
                      <w:bCs/>
                      <w:color w:val="403152"/>
                      <w:sz w:val="16"/>
                      <w:szCs w:val="16"/>
                    </w:rPr>
                    <w:fldChar w:fldCharType="end"/>
                  </w:r>
                </w:p>
              </w:txbxContent>
            </v:textbox>
          </v:shape>
          <v:group id="Group 72" o:spid="_x0000_s2053" alt="" style="position:absolute;left:886;top:3255;width:374;height:374" coordorigin="1453,14832" coordsize="374,374">
            <v:oval id="Oval 73" o:spid="_x0000_s2054" alt="" style="position:absolute;left:1453;top:14832;width:374;height:374;visibility:visible" filled="f" strokecolor="#84a2c6" strokeweight=".5pt"/>
            <v:oval id="Oval 74" o:spid="_x0000_s2055" alt="" style="position:absolute;left:1462;top:14835;width:101;height:101;visibility:visible" fillcolor="#84a2c6" stroked="f"/>
          </v:group>
          <w10:wrap anchorx="margin" anchory="page"/>
        </v:group>
      </w:pict>
    </w:r>
    <w:r w:rsidRPr="000B4A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56pt;margin-top:-5.5pt;width:598.55pt;height:846pt;z-index:-251658752;mso-wrap-edited:f">
          <v:imagedata r:id="rId1" o:title="CI FEDERUNACOMA B 2"/>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3E" w:rsidRDefault="000B4A9A" w:rsidP="001E6407">
    <w:pPr>
      <w:pStyle w:val="Intestazione"/>
      <w:ind w:left="-3119"/>
      <w:jc w:val="center"/>
    </w:pPr>
    <w:r w:rsidRPr="000B4A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56pt;margin-top:.85pt;width:594.65pt;height:840.5pt;z-index:-251657728;mso-wrap-edited:f">
          <v:imagedata r:id="rId1" o:title="CI COMAGARDE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A68"/>
    <w:multiLevelType w:val="hybridMultilevel"/>
    <w:tmpl w:val="E140FE2E"/>
    <w:lvl w:ilvl="0" w:tplc="41023746">
      <w:numFmt w:val="bullet"/>
      <w:lvlText w:val=""/>
      <w:lvlJc w:val="left"/>
      <w:pPr>
        <w:ind w:left="700" w:hanging="360"/>
      </w:pPr>
      <w:rPr>
        <w:rFonts w:ascii="Symbol" w:eastAsia="Times New Roman" w:hAnsi="Symbol" w:cs="Aria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
    <w:nsid w:val="0C456B0B"/>
    <w:multiLevelType w:val="multilevel"/>
    <w:tmpl w:val="9F04C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413C3E"/>
    <w:multiLevelType w:val="hybridMultilevel"/>
    <w:tmpl w:val="B7326880"/>
    <w:lvl w:ilvl="0" w:tplc="07F23754">
      <w:start w:val="1"/>
      <w:numFmt w:val="bullet"/>
      <w:lvlText w:val="­"/>
      <w:lvlJc w:val="left"/>
      <w:pPr>
        <w:ind w:left="1060" w:hanging="360"/>
      </w:pPr>
      <w:rPr>
        <w:rFonts w:ascii="Courier New" w:hAnsi="Courier New" w:hint="default"/>
      </w:rPr>
    </w:lvl>
    <w:lvl w:ilvl="1" w:tplc="BA225B86">
      <w:numFmt w:val="bullet"/>
      <w:lvlText w:val=""/>
      <w:lvlJc w:val="left"/>
      <w:pPr>
        <w:ind w:left="1780" w:hanging="360"/>
      </w:pPr>
      <w:rPr>
        <w:rFonts w:ascii="Symbol" w:eastAsia="Times New Roman" w:hAnsi="Symbol" w:cs="Arial"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
    <w:nsid w:val="47733A51"/>
    <w:multiLevelType w:val="hybridMultilevel"/>
    <w:tmpl w:val="286295F8"/>
    <w:lvl w:ilvl="0" w:tplc="6202869A">
      <w:numFmt w:val="bullet"/>
      <w:lvlText w:val=""/>
      <w:lvlJc w:val="left"/>
      <w:pPr>
        <w:ind w:left="700" w:hanging="360"/>
      </w:pPr>
      <w:rPr>
        <w:rFonts w:ascii="Symbol" w:eastAsia="Times New Roman" w:hAnsi="Symbol" w:cs="Aria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4">
    <w:nsid w:val="7C272E14"/>
    <w:multiLevelType w:val="hybridMultilevel"/>
    <w:tmpl w:val="07B885FC"/>
    <w:lvl w:ilvl="0" w:tplc="07F23754">
      <w:start w:val="1"/>
      <w:numFmt w:val="bullet"/>
      <w:lvlText w:val="­"/>
      <w:lvlJc w:val="left"/>
      <w:pPr>
        <w:ind w:left="1060" w:hanging="360"/>
      </w:pPr>
      <w:rPr>
        <w:rFonts w:ascii="Courier New" w:hAnsi="Courier New" w:hint="default"/>
      </w:rPr>
    </w:lvl>
    <w:lvl w:ilvl="1" w:tplc="4462C75E">
      <w:numFmt w:val="bullet"/>
      <w:lvlText w:val=""/>
      <w:lvlJc w:val="left"/>
      <w:pPr>
        <w:ind w:left="1780" w:hanging="360"/>
      </w:pPr>
      <w:rPr>
        <w:rFonts w:ascii="Symbol" w:eastAsia="Times New Roman" w:hAnsi="Symbol" w:cs="Arial"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num w:numId="1">
    <w:abstractNumId w:val="1"/>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stylePaneFormatFilter w:val="3F01"/>
  <w:stylePaneSortMethod w:val="0000"/>
  <w:doNotTrackMoves/>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D5C"/>
    <w:rsid w:val="000259B9"/>
    <w:rsid w:val="00036212"/>
    <w:rsid w:val="00054456"/>
    <w:rsid w:val="00064A46"/>
    <w:rsid w:val="000B4A9A"/>
    <w:rsid w:val="00102B43"/>
    <w:rsid w:val="00122037"/>
    <w:rsid w:val="0012431B"/>
    <w:rsid w:val="00172658"/>
    <w:rsid w:val="00184528"/>
    <w:rsid w:val="00195934"/>
    <w:rsid w:val="001D454C"/>
    <w:rsid w:val="001E6407"/>
    <w:rsid w:val="001F2B3A"/>
    <w:rsid w:val="002073D7"/>
    <w:rsid w:val="00223CD5"/>
    <w:rsid w:val="0023407E"/>
    <w:rsid w:val="00242BCD"/>
    <w:rsid w:val="00250A47"/>
    <w:rsid w:val="002637C5"/>
    <w:rsid w:val="00273DCA"/>
    <w:rsid w:val="002B7B87"/>
    <w:rsid w:val="002E6530"/>
    <w:rsid w:val="002F7E8E"/>
    <w:rsid w:val="00314EC8"/>
    <w:rsid w:val="00340751"/>
    <w:rsid w:val="003630D3"/>
    <w:rsid w:val="00380B0C"/>
    <w:rsid w:val="0039617F"/>
    <w:rsid w:val="003C4F93"/>
    <w:rsid w:val="003E010D"/>
    <w:rsid w:val="00402B0F"/>
    <w:rsid w:val="0040724E"/>
    <w:rsid w:val="004401CD"/>
    <w:rsid w:val="00497105"/>
    <w:rsid w:val="004F3708"/>
    <w:rsid w:val="004F479A"/>
    <w:rsid w:val="0051132E"/>
    <w:rsid w:val="005452A8"/>
    <w:rsid w:val="00546087"/>
    <w:rsid w:val="005F5F62"/>
    <w:rsid w:val="006B5FFE"/>
    <w:rsid w:val="006B77D6"/>
    <w:rsid w:val="006D4798"/>
    <w:rsid w:val="006F4F07"/>
    <w:rsid w:val="008C46F1"/>
    <w:rsid w:val="008E0F75"/>
    <w:rsid w:val="008F6B1C"/>
    <w:rsid w:val="00911536"/>
    <w:rsid w:val="00943BE3"/>
    <w:rsid w:val="0096145A"/>
    <w:rsid w:val="0096323E"/>
    <w:rsid w:val="009A09BF"/>
    <w:rsid w:val="009D546D"/>
    <w:rsid w:val="009D753D"/>
    <w:rsid w:val="00A11CDD"/>
    <w:rsid w:val="00A32E4E"/>
    <w:rsid w:val="00A36EB6"/>
    <w:rsid w:val="00A61FB1"/>
    <w:rsid w:val="00A62D6A"/>
    <w:rsid w:val="00A818B1"/>
    <w:rsid w:val="00A85E11"/>
    <w:rsid w:val="00AA2F49"/>
    <w:rsid w:val="00AA6412"/>
    <w:rsid w:val="00B17427"/>
    <w:rsid w:val="00B36579"/>
    <w:rsid w:val="00B73088"/>
    <w:rsid w:val="00B73B5F"/>
    <w:rsid w:val="00B76064"/>
    <w:rsid w:val="00B87DDD"/>
    <w:rsid w:val="00B96A94"/>
    <w:rsid w:val="00BE7B3F"/>
    <w:rsid w:val="00C10D3C"/>
    <w:rsid w:val="00C1576D"/>
    <w:rsid w:val="00C66416"/>
    <w:rsid w:val="00C70351"/>
    <w:rsid w:val="00C836FB"/>
    <w:rsid w:val="00CC28D0"/>
    <w:rsid w:val="00CF0CD9"/>
    <w:rsid w:val="00D16D5C"/>
    <w:rsid w:val="00D220A5"/>
    <w:rsid w:val="00D45E1C"/>
    <w:rsid w:val="00D868E8"/>
    <w:rsid w:val="00E46E04"/>
    <w:rsid w:val="00E51644"/>
    <w:rsid w:val="00E76B66"/>
    <w:rsid w:val="00EE5421"/>
    <w:rsid w:val="00F10141"/>
    <w:rsid w:val="00F177E2"/>
    <w:rsid w:val="00F90ECE"/>
    <w:rsid w:val="00FA4799"/>
    <w:rsid w:val="00FA5B66"/>
    <w:rsid w:val="00FB2FD4"/>
    <w:rsid w:val="00FF3754"/>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0B4A9A"/>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B4A9A"/>
    <w:pPr>
      <w:tabs>
        <w:tab w:val="center" w:pos="4819"/>
        <w:tab w:val="right" w:pos="9638"/>
      </w:tabs>
    </w:pPr>
    <w:rPr>
      <w:lang/>
    </w:rPr>
  </w:style>
  <w:style w:type="paragraph" w:styleId="Pidipagina">
    <w:name w:val="footer"/>
    <w:basedOn w:val="Normale"/>
    <w:link w:val="PidipaginaCarattere"/>
    <w:uiPriority w:val="99"/>
    <w:rsid w:val="000B4A9A"/>
    <w:pPr>
      <w:tabs>
        <w:tab w:val="center" w:pos="4819"/>
        <w:tab w:val="right" w:pos="9638"/>
      </w:tabs>
    </w:pPr>
    <w:rPr>
      <w:lang/>
    </w:rPr>
  </w:style>
  <w:style w:type="character" w:customStyle="1" w:styleId="Collegame">
    <w:name w:val="Collegame"/>
    <w:uiPriority w:val="99"/>
    <w:rsid w:val="0023407E"/>
    <w:rPr>
      <w:rFonts w:cs="Times New Roman"/>
      <w:color w:val="0000FF"/>
      <w:u w:val="single"/>
    </w:rPr>
  </w:style>
  <w:style w:type="paragraph" w:styleId="Testofumetto">
    <w:name w:val="Balloon Text"/>
    <w:basedOn w:val="Normale"/>
    <w:link w:val="TestofumettoCarattere"/>
    <w:rsid w:val="003C4F93"/>
    <w:rPr>
      <w:rFonts w:ascii="Tahoma" w:hAnsi="Tahoma"/>
      <w:sz w:val="16"/>
      <w:szCs w:val="16"/>
    </w:rPr>
  </w:style>
  <w:style w:type="character" w:customStyle="1" w:styleId="TestofumettoCarattere">
    <w:name w:val="Testo fumetto Carattere"/>
    <w:link w:val="Testofumetto"/>
    <w:rsid w:val="003C4F93"/>
    <w:rPr>
      <w:rFonts w:ascii="Tahoma" w:hAnsi="Tahoma" w:cs="Tahoma"/>
      <w:sz w:val="16"/>
      <w:szCs w:val="16"/>
      <w:lang w:val="it-IT" w:eastAsia="it-IT"/>
    </w:rPr>
  </w:style>
  <w:style w:type="character" w:customStyle="1" w:styleId="IntestazioneCarattere">
    <w:name w:val="Intestazione Carattere"/>
    <w:link w:val="Intestazione"/>
    <w:uiPriority w:val="99"/>
    <w:rsid w:val="001F2B3A"/>
    <w:rPr>
      <w:sz w:val="24"/>
      <w:szCs w:val="24"/>
    </w:rPr>
  </w:style>
  <w:style w:type="character" w:styleId="Numeropagina">
    <w:name w:val="page number"/>
    <w:uiPriority w:val="99"/>
    <w:unhideWhenUsed/>
    <w:rsid w:val="001F2B3A"/>
  </w:style>
  <w:style w:type="character" w:customStyle="1" w:styleId="PidipaginaCarattere">
    <w:name w:val="Piè di pagina Carattere"/>
    <w:link w:val="Pidipagina"/>
    <w:uiPriority w:val="99"/>
    <w:rsid w:val="00223CD5"/>
    <w:rPr>
      <w:sz w:val="24"/>
      <w:szCs w:val="24"/>
    </w:rPr>
  </w:style>
</w:styles>
</file>

<file path=word/webSettings.xml><?xml version="1.0" encoding="utf-8"?>
<w:webSettings xmlns:r="http://schemas.openxmlformats.org/officeDocument/2006/relationships" xmlns:w="http://schemas.openxmlformats.org/wordprocessingml/2006/main">
  <w:divs>
    <w:div w:id="743450073">
      <w:bodyDiv w:val="1"/>
      <w:marLeft w:val="0"/>
      <w:marRight w:val="0"/>
      <w:marTop w:val="0"/>
      <w:marBottom w:val="0"/>
      <w:divBdr>
        <w:top w:val="none" w:sz="0" w:space="0" w:color="auto"/>
        <w:left w:val="none" w:sz="0" w:space="0" w:color="auto"/>
        <w:bottom w:val="none" w:sz="0" w:space="0" w:color="auto"/>
        <w:right w:val="none" w:sz="0" w:space="0" w:color="auto"/>
      </w:divBdr>
    </w:div>
    <w:div w:id="1346247475">
      <w:bodyDiv w:val="1"/>
      <w:marLeft w:val="0"/>
      <w:marRight w:val="0"/>
      <w:marTop w:val="0"/>
      <w:marBottom w:val="0"/>
      <w:divBdr>
        <w:top w:val="none" w:sz="0" w:space="0" w:color="auto"/>
        <w:left w:val="none" w:sz="0" w:space="0" w:color="auto"/>
        <w:bottom w:val="none" w:sz="0" w:space="0" w:color="auto"/>
        <w:right w:val="none" w:sz="0" w:space="0" w:color="auto"/>
      </w:divBdr>
    </w:div>
    <w:div w:id="1503281509">
      <w:bodyDiv w:val="1"/>
      <w:marLeft w:val="0"/>
      <w:marRight w:val="0"/>
      <w:marTop w:val="0"/>
      <w:marBottom w:val="0"/>
      <w:divBdr>
        <w:top w:val="none" w:sz="0" w:space="0" w:color="auto"/>
        <w:left w:val="none" w:sz="0" w:space="0" w:color="auto"/>
        <w:bottom w:val="none" w:sz="0" w:space="0" w:color="auto"/>
        <w:right w:val="none" w:sz="0" w:space="0" w:color="auto"/>
      </w:divBdr>
    </w:div>
    <w:div w:id="1840734303">
      <w:bodyDiv w:val="1"/>
      <w:marLeft w:val="0"/>
      <w:marRight w:val="0"/>
      <w:marTop w:val="0"/>
      <w:marBottom w:val="0"/>
      <w:divBdr>
        <w:top w:val="none" w:sz="0" w:space="0" w:color="auto"/>
        <w:left w:val="none" w:sz="0" w:space="0" w:color="auto"/>
        <w:bottom w:val="none" w:sz="0" w:space="0" w:color="auto"/>
        <w:right w:val="none" w:sz="0" w:space="0" w:color="auto"/>
      </w:divBdr>
    </w:div>
    <w:div w:id="184693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3070</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ruggieri poggi</dc:creator>
  <cp:lastModifiedBy>Patrizia</cp:lastModifiedBy>
  <cp:revision>3</cp:revision>
  <cp:lastPrinted>2020-03-05T10:22:00Z</cp:lastPrinted>
  <dcterms:created xsi:type="dcterms:W3CDTF">2021-03-10T10:51:00Z</dcterms:created>
  <dcterms:modified xsi:type="dcterms:W3CDTF">2021-03-10T10:52:00Z</dcterms:modified>
</cp:coreProperties>
</file>